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</w:rPr>
      </w:pPr>
    </w:p>
    <w:p>
      <w:pPr>
        <w:pStyle w:val="2"/>
        <w:jc w:val="center"/>
        <w:rPr>
          <w:rFonts w:ascii="Times New Roman" w:hAnsi="Times New Roman"/>
          <w:b/>
          <w:color w:val="auto"/>
          <w:szCs w:val="32"/>
        </w:rPr>
      </w:pPr>
      <w:r>
        <w:rPr>
          <w:rFonts w:ascii="Times New Roman" w:hAnsi="Times New Roman"/>
          <w:b/>
          <w:color w:val="auto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tabs>
          <w:tab w:val="left" w:pos="3135"/>
          <w:tab w:val="center" w:pos="4819"/>
        </w:tabs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</w:t>
      </w:r>
      <w:r>
        <w:rPr>
          <w:sz w:val="28"/>
          <w:szCs w:val="28"/>
          <w:lang w:val="en-US" w:eastAsia="ru-RU"/>
        </w:rPr>
        <w:t>LVIII</w:t>
      </w:r>
      <w:r>
        <w:rPr>
          <w:sz w:val="28"/>
          <w:szCs w:val="28"/>
          <w:lang w:eastAsia="ru-RU"/>
        </w:rPr>
        <w:t xml:space="preserve"> сессия </w:t>
      </w:r>
      <w:r>
        <w:rPr>
          <w:sz w:val="28"/>
          <w:szCs w:val="28"/>
          <w:lang w:val="en-US" w:eastAsia="ru-RU"/>
        </w:rPr>
        <w:t>VI</w:t>
      </w:r>
      <w:r>
        <w:rPr>
          <w:sz w:val="28"/>
          <w:szCs w:val="28"/>
          <w:lang w:eastAsia="ru-RU"/>
        </w:rPr>
        <w:t xml:space="preserve"> созыва)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от 14 декабря 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387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городского округа Анадырь на 2024 год и плановый период 2025 и 2026 годов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ind w:firstLine="708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Руководствуясь Бюджетным кодексом Российской Федерации, </w:t>
      </w:r>
      <w:r>
        <w:rPr>
          <w:sz w:val="26"/>
          <w:szCs w:val="26"/>
        </w:rPr>
        <w:t xml:space="preserve">Законом Чукотского автономного округа </w:t>
      </w:r>
      <w:r>
        <w:rPr>
          <w:bCs/>
          <w:sz w:val="26"/>
          <w:szCs w:val="26"/>
        </w:rPr>
        <w:t xml:space="preserve">от 8 декабря 2023 года 76-ОЗ </w:t>
      </w:r>
      <w:r>
        <w:rPr>
          <w:sz w:val="26"/>
          <w:szCs w:val="26"/>
        </w:rPr>
        <w:t>«</w:t>
      </w:r>
      <w:r>
        <w:rPr>
          <w:bCs/>
          <w:sz w:val="26"/>
          <w:szCs w:val="26"/>
        </w:rPr>
        <w:t>Об окружном бюджете на 2024 год и на плановый период 2025 и 2026 годов</w:t>
      </w:r>
      <w:r>
        <w:rPr>
          <w:sz w:val="26"/>
          <w:szCs w:val="26"/>
        </w:rPr>
        <w:t>»,</w:t>
      </w:r>
    </w:p>
    <w:p>
      <w:pPr>
        <w:ind w:firstLine="709"/>
        <w:rPr>
          <w:bCs/>
          <w:sz w:val="26"/>
          <w:szCs w:val="26"/>
        </w:rPr>
      </w:pPr>
    </w:p>
    <w:p>
      <w:pPr>
        <w:ind w:firstLine="709"/>
        <w:rPr>
          <w:bCs/>
          <w:sz w:val="26"/>
          <w:szCs w:val="26"/>
        </w:rPr>
      </w:pP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Анадырь</w:t>
      </w:r>
    </w:p>
    <w:p>
      <w:pPr>
        <w:rPr>
          <w:b/>
          <w:sz w:val="26"/>
          <w:szCs w:val="26"/>
        </w:rPr>
      </w:pPr>
    </w:p>
    <w:p>
      <w:pPr>
        <w:rPr>
          <w:b/>
          <w:sz w:val="26"/>
          <w:szCs w:val="26"/>
        </w:rPr>
      </w:pPr>
    </w:p>
    <w:p>
      <w:pPr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Р Е Ш И Л: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1. Утвердить основные характеристики бюджета городского округа Анадырь на 2024 год: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1) прогнозируемый общий объём доходов бюджета городского округа Анадырь в сумме </w:t>
      </w:r>
      <w:r>
        <w:rPr>
          <w:sz w:val="26"/>
          <w:szCs w:val="26"/>
          <w:lang w:eastAsia="ru-RU"/>
        </w:rPr>
        <w:t xml:space="preserve">2 752 649,4 </w:t>
      </w:r>
      <w:r>
        <w:rPr>
          <w:sz w:val="26"/>
          <w:szCs w:val="26"/>
        </w:rPr>
        <w:t>тыс. рублей;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2) общий объём расходов бюджета городского округа Анадырь в сумме </w:t>
      </w:r>
      <w:r>
        <w:rPr>
          <w:bCs/>
          <w:sz w:val="26"/>
          <w:szCs w:val="26"/>
        </w:rPr>
        <w:t xml:space="preserve">2 695 969,4 </w:t>
      </w:r>
      <w:r>
        <w:rPr>
          <w:sz w:val="26"/>
          <w:szCs w:val="26"/>
        </w:rPr>
        <w:t>тыс. рублей;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3) профицит бюджета городского округа Анадырь в сумме 56 680,0 тыс. рублей;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4) верхний предел муниципального внутреннего долга городского округа Анадырь по состоянию на 1 января 2025 года в сумме 250 000,0 тыс. рублей, в том числе по муниципальным гарантиям 0,0 тыс. рублей.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2. Утвердить основные характеристики бюджета городского округа Анадырь на 2025 год и на 2026 год: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1) прогнозируемый общий объём доходов бюджета городского округа Анадырь на 2025 год в сумме </w:t>
      </w:r>
      <w:r>
        <w:rPr>
          <w:sz w:val="26"/>
          <w:szCs w:val="26"/>
          <w:lang w:eastAsia="ru-RU"/>
        </w:rPr>
        <w:t xml:space="preserve">1 967 828,1 </w:t>
      </w:r>
      <w:r>
        <w:rPr>
          <w:sz w:val="26"/>
          <w:szCs w:val="26"/>
        </w:rPr>
        <w:t>тыс. рублей и на 2026 год в сумме 1 964 465,5 тыс. рублей;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2) общий объём расходов бюджета городского округа Анадырь: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на 2025 год в сумме 1 893 828,1 тыс. рублей, в том числе общий объем условно утвержденных расходов в сумме 21 884,9 тыс. рублей;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на 2026 год в сумме 1 964 465,5 тыс. рублей, в том числе общий объем условно утвержденных расходов в сумме 46 203,5 тыс. рублей;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3) на 2025 год профицит бюджета в сумме 74 000,0 и профицит бюджета городского округа Анадырь на 2026 год в сумме 0,0 тыс. рублей;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4) верхний предел муниципального внутреннего долга городского округа Анадырь по состоянию на 1 января 2026 года в сумме 250 000,0 тыс. рублей, в том числе по муниципальным гарантиям 0,0 тыс. рублей, 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5) верхний предел муниципального внутреннего долга городского округа Анадырь по состоянию на 1 января 2027 года в сумме 250 000,0 тыс. рублей, в том числе по муниципальным гарантиям 0,0 тыс. рублей, 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3. Установить, что доходы бюджета городского округа Анадырь формируются за счет: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-зачисления в бюджет городского округа Анадырь федеральных налогов и сборов, налогов, предусмотренных специальными налоговыми режимами, региональных налогов и сборов, местных налогов, неналоговых доходов, федеральных налогов и сборов (в части погашения задолженности прошлых лет по отдельным видам налогов, а также в части погашения задолженности по отмененным налогам и сборам) по нормативам, установленным Бюджетным кодексом Российской Федерации, а также по нормативам отчислений, утвержденных Законом Чукотского автономного округа от 25 ноября 2005 года № 86-ОЗ «О единых нормативах отчислений в бюджеты муниципальных районов, городского округа Чукотского автономного округа от отдельных федеральных налогов, в том числе от налогов, предусмотренных специальными налоговыми </w:t>
      </w:r>
      <w:r>
        <w:rPr>
          <w:color w:val="000000" w:themeColor="text1"/>
          <w:sz w:val="26"/>
          <w:szCs w:val="26"/>
        </w:rPr>
        <w:t xml:space="preserve">режимами, подлежащих зачислению в соответствии с Бюджетным кодексом Российской Федерации и законодательством о налогах и сборах в окружной бюджет», а также по нормативам, утвержденным </w:t>
      </w:r>
      <w:r>
        <w:rPr>
          <w:sz w:val="26"/>
          <w:szCs w:val="26"/>
        </w:rPr>
        <w:t xml:space="preserve">Законом Чукотского автономного округа от 8 </w:t>
      </w:r>
      <w:r>
        <w:rPr>
          <w:bCs/>
          <w:sz w:val="26"/>
          <w:szCs w:val="26"/>
        </w:rPr>
        <w:t>декабря 2023 года</w:t>
      </w:r>
      <w:r>
        <w:rPr>
          <w:sz w:val="26"/>
          <w:szCs w:val="26"/>
        </w:rPr>
        <w:t xml:space="preserve"> № 76-ОЗ «</w:t>
      </w:r>
      <w:r>
        <w:rPr>
          <w:bCs/>
          <w:sz w:val="26"/>
          <w:szCs w:val="26"/>
        </w:rPr>
        <w:t>Об окружном бюджете на 2024 год и на плановый период 2025 и 2026 годов</w:t>
      </w:r>
      <w:r>
        <w:rPr>
          <w:sz w:val="26"/>
          <w:szCs w:val="26"/>
        </w:rPr>
        <w:t>»;</w:t>
      </w:r>
    </w:p>
    <w:p>
      <w:pPr>
        <w:ind w:firstLine="709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-</w:t>
      </w:r>
      <w:r>
        <w:rPr>
          <w:rFonts w:eastAsiaTheme="minorHAnsi"/>
          <w:color w:val="000000" w:themeColor="text1"/>
          <w:sz w:val="26"/>
          <w:szCs w:val="26"/>
        </w:rPr>
        <w:t xml:space="preserve"> доходов от оказания муниципальными казенными учреждениями платных </w:t>
      </w:r>
      <w:r>
        <w:rPr>
          <w:rFonts w:eastAsiaTheme="minorHAnsi"/>
          <w:sz w:val="26"/>
          <w:szCs w:val="26"/>
        </w:rPr>
        <w:t>услуг и иной приносящей доход деятельности, средств безвозмездных поступлений от физических и юридических лиц, доходов от компенсации затрат бюджета городского округа, невыясненных поступлений, зачисляемых в бюджет городского округа Анадырь, а также иных неналоговых доходов бюджета, по которым нормативы распределения между уровнями бюджетов бюджетной системы Российской Федерации не установлены бюджетным законодательством Российской Федерации, - по нормативу 100 процентов</w:t>
      </w:r>
      <w:r>
        <w:rPr>
          <w:sz w:val="26"/>
          <w:szCs w:val="26"/>
        </w:rPr>
        <w:t>.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4. Учесть в бюджете городского округа Анадырь на 2024 год поступления прогнозируемых доходов по классификации доходов бюджетов согласно приложению 1 к настоящему решению, на 2025 и 2026 годы согласно приложению 2 к настоящему решению.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5. Утвердить в пределах общего объёма доходов на 2024 год, установленного подпунктом 1 пункта 1 настоящего решения объём межбюджетных трансфертов, получаемых из окружного бюджета в сумме 1 771 063,9 тыс. рублей.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6. Утвердить в пределах общего объёма доходов на 2025 год и 2026 год, установленного подпунктом 1 пункта 2 настоящего решения объём межбюджетных трансфертов, получаемых из окружного бюджета на 2025 год в сумме 996 546,8 тыс. рублей, на 2026 год в сумме 994 193,0 тыс. рублей.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7. Утвердить в пределах общего объема расходов, установленного подпунктом 2 пункта 1 и подпунктом 2 пункта 2 настоящего Решения: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- ведомственную структуру расходов бюджета городского округа Анадырь на 2024 год и плановый период 2025 и 2026 годов по главным распорядителям средств бюджета городского округа Анадырь, разделам, подразделам классификации расходов бюджетов согласно приложению 3 к настоящему Решению;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- 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2024 год согласно приложению 4 к настоящему решению, плановый период 2025 года согласно приложению 5 к настоящему решению, плановый период 2026 года согласно приложению 6 к настоящему решению;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- общий объём бюджетных ассигнований на исполнение публичных нормативных обязательств: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в 2024 году в сумме 450,0 тыс. рублей;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в 2025 году в сумме 480,0 тыс. рублей;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в 2026 году в сумме 510,0 тыс. рублей;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- объем резервного фонда Администрации городского округа Анадырь на непредвиденные расходы на 2024 год в сумме 7 000,0 тыс. рублей, в том числе объем финансовых резервов для ликвидации чрезвычайных ситуаций в сумме 700,0 тыс. рублей;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- объем резервного фонда Администрации городского округа Анадырь на непредвиденные расходы на 2025 год в сумме 9 000,0 тыс. рублей, в том числе объем финансовых резервов для ликвидации чрезвычайных ситуаций в сумме 900,0 тыс. рублей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на 2026 год в сумме 15 000,0 тыс. рублей, в том числе объем финансовых резервов для ликвидации чрезвычайных ситуаций в сумме 1 500,0 тыс. рублей;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- объем муниципального дорожного фонда городского округа Анадырь на 2024 год в сумме 4 061,3 тыс. рублей, на 2025 год в сумме 10 003,6 тыс. рублей, на 2026 год в сумме 13 491,1 тыс. рублей.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8. В целях обеспечения жизнедеятельности населения городского округа Анадырь, предоставить в 2024 году и в плановом периоде 2025 и 2026 годов муниципальные преференции хозяйствующим субъектам в следующих случаях и формах:</w:t>
      </w:r>
    </w:p>
    <w:p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8.1. 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>
      <w:pPr>
        <w:suppressAutoHyphens/>
        <w:ind w:right="-5" w:firstLine="709"/>
        <w:rPr>
          <w:sz w:val="26"/>
          <w:szCs w:val="26"/>
        </w:rPr>
      </w:pPr>
      <w:r>
        <w:rPr>
          <w:sz w:val="26"/>
          <w:szCs w:val="26"/>
        </w:rPr>
        <w:t>на возмещение фактических затрат,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 на 2024 год в сумме 40 000,0 тыс. рублей, на 2025 год – в сумме 45 000,0 тыс. рублей, на 2026 год – в сумме 65 000,0 тыс. рублей;</w:t>
      </w:r>
    </w:p>
    <w:p>
      <w:pPr>
        <w:ind w:firstLine="720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на компенсацию затрат по уплате лизинговых платежей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на 2024 год в сумме 14 828,2 тыс. рублей</w:t>
      </w:r>
      <w:r>
        <w:rPr>
          <w:sz w:val="26"/>
          <w:szCs w:val="26"/>
        </w:rPr>
        <w:t>, на 2025 год в сумме 14 828,2 тыс. рублей, на 2026 год 3 705,1 тыс. рублей;</w:t>
      </w:r>
      <w:r>
        <w:rPr>
          <w:color w:val="FF0000"/>
          <w:sz w:val="26"/>
          <w:szCs w:val="26"/>
        </w:rPr>
        <w:t xml:space="preserve"> 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 xml:space="preserve">Порядок определения размера муниципальных преференций определяется объемом затрат необходимых для реализации мероприятий, и указан в приложении </w:t>
      </w:r>
      <w:r>
        <w:rPr>
          <w:sz w:val="26"/>
          <w:szCs w:val="26"/>
        </w:rPr>
        <w:lastRenderedPageBreak/>
        <w:t>13 к настоящему решению. Выделение муниципальной преференции носит целевой характер и не может быть использовано на другие цели.</w:t>
      </w:r>
    </w:p>
    <w:p>
      <w:pPr>
        <w:widowControl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8.2. Муниципальному предприятию городского округа Анадырь «Городское коммунальное хозяйство» в форме субсидий, на реализацию мероприятий по модернизации системы коммунальной инфраструктуры, предусмотренных Региональной программой «Модернизация систем коммунальной инфраструктуры Чукотского автономного округа на 2023-2027 годы» в общей сумме 65 199,9 тыс. рублей, из них за счет средств окружного бюджета, предоставленных в виде межбюджетных субсидий в сумме 64 873,9 тыс. рублей. Субсидия предоставляется в порядке, </w:t>
      </w:r>
      <w:r>
        <w:rPr>
          <w:color w:val="000000"/>
          <w:sz w:val="26"/>
          <w:szCs w:val="26"/>
        </w:rPr>
        <w:t>определяемом</w:t>
      </w:r>
      <w:r>
        <w:rPr>
          <w:sz w:val="26"/>
          <w:szCs w:val="26"/>
        </w:rPr>
        <w:t xml:space="preserve"> Администрацией городского округа Анадырь.</w:t>
      </w:r>
    </w:p>
    <w:p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9. </w:t>
      </w:r>
      <w:r>
        <w:rPr>
          <w:color w:val="000000"/>
          <w:sz w:val="26"/>
          <w:szCs w:val="26"/>
        </w:rPr>
        <w:t>Установить, что субсидии юридическим лицам, индивидуальным предпринимателям, физическим лицам - производителям товаров (работ, услуг), предусмотренные настоящим Решением, предоставляются в порядке, установленном Администрацией городского округа Анадырь</w:t>
      </w:r>
      <w:r>
        <w:rPr>
          <w:rFonts w:eastAsiaTheme="minorHAnsi"/>
          <w:sz w:val="26"/>
          <w:szCs w:val="26"/>
        </w:rPr>
        <w:t>.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10. Утвердить источники внутреннего финансирования дефицита бюджета городского округа Анадырь: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на 2024 год согласно приложению 7 к настоящему решению;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на 2025 год согласно приложению 8 к настоящему решению;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на 2026 год согласно приложению 9 к настоящему решению.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11. Утвердить программы муниципальных внутренних заимствований городского округа Анадырь: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на 2024 год согласно приложению 10 к настоящему решению;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на 2025 год согласно приложению 11 к настоящему решению;</w:t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на 2026 год согласно приложению 12 к настоящему решению.</w:t>
      </w:r>
    </w:p>
    <w:p>
      <w:pPr>
        <w:ind w:right="-5" w:firstLine="709"/>
        <w:rPr>
          <w:sz w:val="26"/>
          <w:szCs w:val="26"/>
        </w:rPr>
      </w:pPr>
      <w:r>
        <w:rPr>
          <w:sz w:val="26"/>
          <w:szCs w:val="26"/>
        </w:rPr>
        <w:t>12. Установить, что органы местного самоуправления городского округа Анадырь и муниципальные учреждения, при заключении договоров муниципальных контрактов (договоров, контрактов) о поставке товаров, выполнении работ и оказании услуг в пределах предусмотренных бюджетных ассигнований на 2024 год и на плановый период 2025 и 2026 годов вправе предусматривать авансовые платежи:</w:t>
      </w:r>
    </w:p>
    <w:p>
      <w:pPr>
        <w:autoSpaceDE w:val="0"/>
        <w:autoSpaceDN w:val="0"/>
        <w:adjustRightInd w:val="0"/>
        <w:ind w:firstLine="709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1) в размере до 100 процентов суммы муниципального контракта (контракта, договора), но не более объема бюджетных ассигнований, доведенных на соответствующий финансовый год, – по муниципальным контрактам (контрактам, договорам) об оказании услуг связи,</w:t>
      </w:r>
      <w:r>
        <w:rPr>
          <w:rFonts w:eastAsiaTheme="minorHAnsi"/>
          <w:sz w:val="26"/>
          <w:szCs w:val="26"/>
        </w:rPr>
        <w:t xml:space="preserve"> услуг банка, связанных с исполнением публичных нормативных обязательств и предоставлением иных социальных выплат, </w:t>
      </w:r>
      <w:r>
        <w:rPr>
          <w:sz w:val="26"/>
          <w:szCs w:val="26"/>
        </w:rPr>
        <w:t xml:space="preserve">транспортных услуг, о подписке на печатные и электронные издания и об их приобретении, обучении в учебных заведениях Российской Федерации на курсах повышения квалификации, </w:t>
      </w:r>
      <w:r>
        <w:rPr>
          <w:rFonts w:eastAsiaTheme="minorHAnsi"/>
          <w:sz w:val="26"/>
          <w:szCs w:val="26"/>
        </w:rPr>
        <w:t xml:space="preserve">участии в семинарах, конференциях, конкурсах, за проживание в гостиницах, о приобретении авиа- и железнодорожных билетов и билетов на другие виды транспорта, путевок на оздоровление и санаторно-курортное лечение, по договорам обязательного страхования гражданской ответственности владельцев транспортных средств, </w:t>
      </w:r>
      <w:r>
        <w:rPr>
          <w:sz w:val="26"/>
          <w:szCs w:val="26"/>
        </w:rPr>
        <w:t>по муниципальным контрактам (контрактам, договорам)</w:t>
      </w:r>
      <w:r>
        <w:rPr>
          <w:rFonts w:eastAsiaTheme="minorHAnsi"/>
          <w:sz w:val="26"/>
          <w:szCs w:val="26"/>
        </w:rPr>
        <w:t xml:space="preserve"> на оказание услуг по размещению и поддержке ресурсов в сети Интернет,</w:t>
      </w:r>
      <w:r>
        <w:rPr>
          <w:sz w:val="26"/>
          <w:szCs w:val="26"/>
        </w:rPr>
        <w:t xml:space="preserve"> по</w:t>
      </w:r>
      <w:r>
        <w:rPr>
          <w:rFonts w:eastAsiaTheme="minorHAnsi"/>
          <w:sz w:val="26"/>
          <w:szCs w:val="26"/>
        </w:rPr>
        <w:t xml:space="preserve"> приобретению неисключительных прав на программное обеспечение,</w:t>
      </w:r>
      <w:r>
        <w:rPr>
          <w:sz w:val="26"/>
          <w:szCs w:val="26"/>
        </w:rPr>
        <w:t xml:space="preserve"> приобретение учебников, учебно-методических материалов и оборудования, по муниципальным контрактам (контрактам, договорам) </w:t>
      </w:r>
      <w:r>
        <w:rPr>
          <w:rFonts w:eastAsiaTheme="minorHAnsi"/>
          <w:sz w:val="26"/>
          <w:szCs w:val="26"/>
        </w:rPr>
        <w:t>на приобретение (изготовление) оборудования и других нефинансовых активов для  осуществления мероприятий по профилактике и противодействию распространения новой коронавирусной инфекции.</w:t>
      </w:r>
    </w:p>
    <w:p>
      <w:pPr>
        <w:tabs>
          <w:tab w:val="left" w:pos="1134"/>
        </w:tabs>
        <w:autoSpaceDE w:val="0"/>
        <w:autoSpaceDN w:val="0"/>
        <w:snapToGrid w:val="0"/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2)</w:t>
      </w:r>
      <w:r>
        <w:rPr>
          <w:sz w:val="26"/>
          <w:szCs w:val="26"/>
        </w:rPr>
        <w:tab/>
        <w:t>в размере от 30 до 50 процентов суммы муниципального контракта (контракта, договора), но не более объема предусмотренных бюджетных ассигнований на указанные цели на соответствующий финансовый год, с осуществлением казначейского сопровождения Управлением Федерального казначейства по Чукотскому автономному округу;</w:t>
      </w:r>
    </w:p>
    <w:p>
      <w:pPr>
        <w:tabs>
          <w:tab w:val="left" w:pos="1134"/>
        </w:tabs>
        <w:autoSpaceDE w:val="0"/>
        <w:autoSpaceDN w:val="0"/>
        <w:snapToGrid w:val="0"/>
        <w:ind w:firstLine="720"/>
        <w:rPr>
          <w:sz w:val="26"/>
          <w:szCs w:val="26"/>
        </w:rPr>
      </w:pPr>
      <w:r>
        <w:rPr>
          <w:sz w:val="26"/>
          <w:szCs w:val="26"/>
        </w:rPr>
        <w:t>3)</w:t>
      </w:r>
      <w:r>
        <w:rPr>
          <w:sz w:val="26"/>
          <w:szCs w:val="26"/>
        </w:rPr>
        <w:tab/>
        <w:t>в размере до 30 процентов суммы муниципального контракта (контракта, договора), но не более объема предусмотренных бюджетных ассигнований на указанные цели на соответствующий финансовый год, – по остальным муниципальным контрактам (контрактам, договорам).</w:t>
      </w:r>
    </w:p>
    <w:p>
      <w:pPr>
        <w:ind w:right="-5" w:firstLine="709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Размер авансовых платежей по договорам (муниципальным контрактам), источником финансового обеспечения которых являются субсидии, иные межбюджетные трансферты из федерального бюджета, на поставку товаров (выполнение работ, оказание услуг), заключаемых в целях реализации принятых в установленном порядке решений об осуществлении капитальных вложений в объекты капитального строительства муниципальной собственности городского округа Анадырь, устанавливается в соответствии с нормативными правовыми актами Правительства Российской Федерации.</w:t>
      </w:r>
    </w:p>
    <w:p>
      <w:pPr>
        <w:tabs>
          <w:tab w:val="left" w:pos="72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13. Установить, что в 2024 году и плановом периоде 2025 и 2026 годов муниципальные унитарные предприятия городского округа Анадырь не перечисляют в бюджет городского округа Анадырь прибыль, остающуюся после уплаты ими налогов, сборов и иных обязательных платежей.</w:t>
      </w:r>
    </w:p>
    <w:p>
      <w:pPr>
        <w:pStyle w:val="ConsPlusNormal"/>
        <w:ind w:firstLine="709"/>
        <w:rPr>
          <w:sz w:val="26"/>
          <w:szCs w:val="26"/>
        </w:rPr>
      </w:pPr>
      <w:r>
        <w:rPr>
          <w:sz w:val="26"/>
          <w:szCs w:val="26"/>
        </w:rPr>
        <w:t>14. Установить, что муниципальные гарантии городского округа Анадырь в валюте Российской Федерации в 2024 году и плановом периоде 2025 и 2026 не предоставляются.</w:t>
      </w:r>
    </w:p>
    <w:p>
      <w:pPr>
        <w:snapToGrid w:val="0"/>
        <w:ind w:firstLine="709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15. </w:t>
      </w:r>
      <w:r>
        <w:rPr>
          <w:color w:val="000000"/>
          <w:sz w:val="26"/>
          <w:szCs w:val="26"/>
        </w:rPr>
        <w:t xml:space="preserve">Установить в соответствии с Бюджетным кодексом Российской Федерации, что основанием для внесения изменений в показатели сводной бюджетной росписи бюджета городского округа Анадырь является распределение зарезервированных в составе </w:t>
      </w:r>
      <w:r>
        <w:rPr>
          <w:rFonts w:eastAsiaTheme="minorHAnsi"/>
          <w:sz w:val="26"/>
          <w:szCs w:val="26"/>
        </w:rPr>
        <w:t xml:space="preserve">утвержденных </w:t>
      </w:r>
      <w:r>
        <w:rPr>
          <w:sz w:val="26"/>
          <w:szCs w:val="26"/>
        </w:rPr>
        <w:t>подпунктом 2 пункта 1 настоящего Решения</w:t>
      </w:r>
      <w:r>
        <w:rPr>
          <w:rFonts w:eastAsiaTheme="minorHAnsi"/>
          <w:sz w:val="26"/>
          <w:szCs w:val="26"/>
        </w:rPr>
        <w:t>:</w:t>
      </w:r>
    </w:p>
    <w:p>
      <w:pPr>
        <w:snapToGrid w:val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бюджетных ассигнований на 2024 год в объеме 7 000,0 тыс. рублей, </w:t>
      </w:r>
      <w:r>
        <w:rPr>
          <w:sz w:val="26"/>
          <w:szCs w:val="26"/>
        </w:rPr>
        <w:t xml:space="preserve">на 2025 год в объеме 9 000,0 тыс. рублей, на 2026 год в объеме 15 000,0 тыс. рублей, </w:t>
      </w:r>
      <w:r>
        <w:rPr>
          <w:color w:val="000000"/>
          <w:sz w:val="26"/>
          <w:szCs w:val="26"/>
        </w:rPr>
        <w:t xml:space="preserve">предусмотренных по подразделу «Резервные фонды» раздела «Общегосударственные вопросы» классификации расходов бюджетов, на непредвиденные расходы за счет </w:t>
      </w:r>
      <w:r>
        <w:rPr>
          <w:sz w:val="26"/>
          <w:szCs w:val="26"/>
        </w:rPr>
        <w:t>средств резервного фонда Администрации городского округа Анадырь</w:t>
      </w:r>
      <w:r>
        <w:rPr>
          <w:color w:val="000000"/>
          <w:sz w:val="26"/>
          <w:szCs w:val="26"/>
        </w:rPr>
        <w:t>;</w:t>
      </w:r>
    </w:p>
    <w:p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>
        <w:rPr>
          <w:sz w:val="26"/>
          <w:szCs w:val="26"/>
        </w:rPr>
        <w:t>бюджетных ассигнований, предусмотренных на 2024 год в объеме 500,0 тыс. рублей, на 2025 год в объеме 1 100,0 тыс. рублей, на 2026 год в объеме 1 600,0 тыс. рублей предусмотренных по подразделу «Другие общегосударственные вопросы» раздела «Общегосударственные вопросы» классификации расходов бюджетов, на компенсацию расходов, связанных с переездом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Анадырь».</w:t>
      </w:r>
    </w:p>
    <w:p>
      <w:pPr>
        <w:autoSpaceDE w:val="0"/>
        <w:autoSpaceDN w:val="0"/>
        <w:adjustRightInd w:val="0"/>
        <w:ind w:firstLine="709"/>
        <w:rPr>
          <w:sz w:val="26"/>
          <w:szCs w:val="26"/>
          <w:lang w:eastAsia="ru-RU"/>
        </w:rPr>
      </w:pPr>
      <w:r>
        <w:rPr>
          <w:sz w:val="26"/>
          <w:szCs w:val="26"/>
        </w:rPr>
        <w:t>Порядок использования (порядок принятия решений об использовании, о перераспределении) зарезервированных бюджетных ассигнований, указанных в пункте 15 настоящего Решения, устанавливается Администрацией городского округа Анадырь.</w:t>
      </w:r>
    </w:p>
    <w:p>
      <w:pPr>
        <w:snapToGrid w:val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16. Установить, что остатки средств бюджета городского округа Анадырь на 1 января 2024 года:</w:t>
      </w:r>
    </w:p>
    <w:p>
      <w:pPr>
        <w:snapToGrid w:val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1) в объеме, необходимом для покрытия временных кассовых разрывов, возникающих в ходе исполнения бюджета городского округа Анадырь в текущем финансовом году, направляются на их покрытие, но не более общего объема остатков средств бюджета городского округа Анадырь на начало текущего финансового года;</w:t>
      </w:r>
    </w:p>
    <w:p>
      <w:pPr>
        <w:snapToGrid w:val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2) в объеме, не превышающем сумму остатка неиспользованных бюджетных ассигнований на оплату заключенных от имени городского округа Анадырь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2023 году, бюджетных ассигнований на предоставление субсидий юридическим лицам, предоставление которых в 2023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направляются в 2024 году по предложениям главных распорядителей бюджетных средств на увеличение соответствующих бюджетных ассигнований на указанные цели путем внесения изменений в сводную бюджетную роспись бюджета городского округа Анадырь.</w:t>
      </w:r>
    </w:p>
    <w:p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17. Настоящее решение подлежит опубликованию и вступает в силу с 1 января 2024 года.</w:t>
      </w:r>
    </w:p>
    <w:p>
      <w:pPr>
        <w:ind w:firstLine="709"/>
        <w:rPr>
          <w:bCs/>
          <w:sz w:val="26"/>
          <w:szCs w:val="26"/>
        </w:rPr>
      </w:pPr>
    </w:p>
    <w:p>
      <w:pPr>
        <w:ind w:firstLine="709"/>
        <w:rPr>
          <w:bCs/>
          <w:sz w:val="26"/>
          <w:szCs w:val="26"/>
        </w:rPr>
      </w:pPr>
    </w:p>
    <w:p>
      <w:pPr>
        <w:ind w:firstLine="709"/>
        <w:rPr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2"/>
        <w:gridCol w:w="4613"/>
      </w:tblGrid>
      <w:tr>
        <w:tc>
          <w:tcPr>
            <w:tcW w:w="4927" w:type="dxa"/>
          </w:tcPr>
          <w:p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Глава городского округа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Председатель Совета депутатов</w:t>
            </w:r>
          </w:p>
        </w:tc>
      </w:tr>
      <w:tr>
        <w:tc>
          <w:tcPr>
            <w:tcW w:w="4927" w:type="dxa"/>
          </w:tcPr>
          <w:p>
            <w:pPr>
              <w:rPr>
                <w:b/>
                <w:bCs/>
                <w:sz w:val="26"/>
                <w:szCs w:val="26"/>
              </w:rPr>
            </w:pPr>
          </w:p>
          <w:p>
            <w:pPr>
              <w:rPr>
                <w:b/>
                <w:bCs/>
                <w:sz w:val="26"/>
                <w:szCs w:val="26"/>
              </w:rPr>
            </w:pPr>
          </w:p>
          <w:p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_____________________Л.А. Николаев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6"/>
                <w:szCs w:val="26"/>
              </w:rPr>
            </w:pPr>
          </w:p>
          <w:p>
            <w:pPr>
              <w:rPr>
                <w:b/>
                <w:bCs/>
                <w:sz w:val="26"/>
                <w:szCs w:val="26"/>
              </w:rPr>
            </w:pPr>
          </w:p>
          <w:p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         _________________</w:t>
            </w:r>
            <w:r>
              <w:rPr>
                <w:b/>
                <w:bCs/>
                <w:sz w:val="26"/>
                <w:szCs w:val="26"/>
              </w:rPr>
              <w:t xml:space="preserve"> В.А. Тюхтий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  <w:r>
        <w:rPr>
          <w:sz w:val="26"/>
          <w:szCs w:val="26"/>
        </w:rPr>
        <w:t>г. Анадырь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14 декабря 2023 года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№ 387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jc w:val="right"/>
        <w:rPr>
          <w:sz w:val="28"/>
          <w:szCs w:val="28"/>
        </w:rPr>
      </w:pPr>
    </w:p>
    <w:p>
      <w:pPr>
        <w:jc w:val="center"/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бюджетов на 2024 год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3"/>
        <w:tblW w:w="9487" w:type="dxa"/>
        <w:tblInd w:w="0" w:type="dxa"/>
        <w:tblLook w:val="04A0" w:firstRow="1" w:lastRow="0" w:firstColumn="1" w:lastColumn="0" w:noHBand="0" w:noVBand="1"/>
      </w:tblPr>
      <w:tblGrid>
        <w:gridCol w:w="2689"/>
        <w:gridCol w:w="5103"/>
        <w:gridCol w:w="1695"/>
      </w:tblGrid>
      <w:tr>
        <w:trPr>
          <w:trHeight w:val="52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</w:tbl>
    <w:p>
      <w:pPr>
        <w:rPr>
          <w:sz w:val="2"/>
          <w:szCs w:val="2"/>
        </w:rPr>
      </w:pPr>
    </w:p>
    <w:p>
      <w:pPr>
        <w:jc w:val="center"/>
        <w:rPr>
          <w:sz w:val="2"/>
          <w:szCs w:val="2"/>
        </w:rPr>
      </w:pPr>
    </w:p>
    <w:tbl>
      <w:tblPr>
        <w:tblStyle w:val="a3"/>
        <w:tblW w:w="9487" w:type="dxa"/>
        <w:tblInd w:w="0" w:type="dxa"/>
        <w:tblLook w:val="04A0" w:firstRow="1" w:lastRow="0" w:firstColumn="1" w:lastColumn="0" w:noHBand="0" w:noVBand="1"/>
      </w:tblPr>
      <w:tblGrid>
        <w:gridCol w:w="2689"/>
        <w:gridCol w:w="5103"/>
        <w:gridCol w:w="1695"/>
      </w:tblGrid>
      <w:tr>
        <w:trPr>
          <w:trHeight w:val="20"/>
          <w:tblHeader/>
        </w:trPr>
        <w:tc>
          <w:tcPr>
            <w:tcW w:w="2689" w:type="dxa"/>
            <w:noWrap/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1 00 00000 00 0000 000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981 585,5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1 01 00000 00 0000 000</w:t>
            </w:r>
          </w:p>
        </w:tc>
        <w:tc>
          <w:tcPr>
            <w:tcW w:w="5103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НАЛОГИ НА ПРИБЫЛЬ, ДОХОДЫ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698 899,0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1 01 02000 01 0000 110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698 899,0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1 01 02010 01 0000 110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649 773,0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1 01 02020 01 0000 110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lang w:val="en-US"/>
              </w:rPr>
            </w:pPr>
            <w:r>
              <w:t>841,</w:t>
            </w:r>
            <w:r>
              <w:rPr>
                <w:lang w:val="en-US"/>
              </w:rPr>
              <w:t>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1 01 02030 01 0000 110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6 260,0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1 01 02040 01 0000 110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2 299,0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1 01 02080 01 0000 110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22 974,0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1 01 02130 01 0000 110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1 707,0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1 01 02140 01 0000 110</w:t>
            </w:r>
          </w:p>
        </w:tc>
        <w:tc>
          <w:tcPr>
            <w:tcW w:w="5103" w:type="dxa"/>
            <w:hideMark/>
          </w:tcPr>
          <w:p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15 045,0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lastRenderedPageBreak/>
              <w:t>1 03 00000 00 0000 000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4 061,3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1 03 02000 01 0000 110</w:t>
            </w:r>
          </w:p>
        </w:tc>
        <w:tc>
          <w:tcPr>
            <w:tcW w:w="5103" w:type="dxa"/>
            <w:hideMark/>
          </w:tcPr>
          <w:p>
            <w:pPr>
              <w:rPr>
                <w:bCs/>
              </w:rPr>
            </w:pPr>
            <w:r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4 061,3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1 03 02230 01 0000 110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1 875,2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1 03 02231 01 0000 110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1 601,2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1 03 02232 01 0000 110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274,0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1 03 02240 01 0000 110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13,5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1 03 02241 01 0000 110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11,6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1 03 02242 01 0000 110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rPr>
                <w:bCs/>
              </w:rPr>
              <w:t>1 03 02250 01 0000 110</w:t>
            </w:r>
          </w:p>
        </w:tc>
        <w:tc>
          <w:tcPr>
            <w:tcW w:w="5103" w:type="dxa"/>
            <w:hideMark/>
          </w:tcPr>
          <w:p>
            <w:pPr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2 470,0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1 03 02251 01 0000 110</w:t>
            </w:r>
          </w:p>
        </w:tc>
        <w:tc>
          <w:tcPr>
            <w:tcW w:w="5103" w:type="dxa"/>
            <w:hideMark/>
          </w:tcPr>
          <w:p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lastRenderedPageBreak/>
              <w:t>2 109,1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lastRenderedPageBreak/>
              <w:t>1 03 02252 01 0000 110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360,9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rPr>
                <w:bCs/>
              </w:rPr>
              <w:t>1 03 02260 01 0000 110</w:t>
            </w:r>
          </w:p>
        </w:tc>
        <w:tc>
          <w:tcPr>
            <w:tcW w:w="5103" w:type="dxa"/>
            <w:hideMark/>
          </w:tcPr>
          <w:p>
            <w:pPr>
              <w:rPr>
                <w:bCs/>
              </w:rPr>
            </w:pPr>
            <w:r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297,4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1 03 02261 01 0000 110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254,0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1 03 02262 01 0000 110</w:t>
            </w:r>
          </w:p>
        </w:tc>
        <w:tc>
          <w:tcPr>
            <w:tcW w:w="5103" w:type="dxa"/>
            <w:hideMark/>
          </w:tcPr>
          <w:p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43,4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1 05 00000 00 0000 000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НАЛОГИ НА СОВОКУПНЫЙ ДОХОД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126 354,0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1 05 01000 00 0000 110</w:t>
            </w:r>
          </w:p>
        </w:tc>
        <w:tc>
          <w:tcPr>
            <w:tcW w:w="5103" w:type="dxa"/>
            <w:hideMark/>
          </w:tcPr>
          <w:p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123 994,0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1 05 01010 01 0000 110</w:t>
            </w:r>
          </w:p>
        </w:tc>
        <w:tc>
          <w:tcPr>
            <w:tcW w:w="5103" w:type="dxa"/>
            <w:hideMark/>
          </w:tcPr>
          <w:p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107 808,0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1 05 01011 01 0000 110</w:t>
            </w:r>
          </w:p>
        </w:tc>
        <w:tc>
          <w:tcPr>
            <w:tcW w:w="5103" w:type="dxa"/>
            <w:hideMark/>
          </w:tcPr>
          <w:p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107 808,0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1 05 01020 01 0000 110</w:t>
            </w:r>
          </w:p>
        </w:tc>
        <w:tc>
          <w:tcPr>
            <w:tcW w:w="5103" w:type="dxa"/>
            <w:hideMark/>
          </w:tcPr>
          <w:p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16 186,0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1 05 01021 01 0000 110</w:t>
            </w:r>
          </w:p>
        </w:tc>
        <w:tc>
          <w:tcPr>
            <w:tcW w:w="5103" w:type="dxa"/>
            <w:hideMark/>
          </w:tcPr>
          <w:p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16 186,0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1 05 03000 01 0000 110</w:t>
            </w:r>
          </w:p>
        </w:tc>
        <w:tc>
          <w:tcPr>
            <w:tcW w:w="5103" w:type="dxa"/>
            <w:hideMark/>
          </w:tcPr>
          <w:p>
            <w:r>
              <w:t>Единый сельскохозяйственный налог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360,0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1 05 03010 01 0000 110</w:t>
            </w:r>
          </w:p>
        </w:tc>
        <w:tc>
          <w:tcPr>
            <w:tcW w:w="5103" w:type="dxa"/>
            <w:hideMark/>
          </w:tcPr>
          <w:p>
            <w:r>
              <w:t>Единый сельскохозяйственный налог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360,0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1 05 04000 02 0000 110</w:t>
            </w:r>
          </w:p>
        </w:tc>
        <w:tc>
          <w:tcPr>
            <w:tcW w:w="5103" w:type="dxa"/>
            <w:hideMark/>
          </w:tcPr>
          <w:p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2 000,00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1 05 04010 02 0000 110</w:t>
            </w:r>
          </w:p>
        </w:tc>
        <w:tc>
          <w:tcPr>
            <w:tcW w:w="5103" w:type="dxa"/>
            <w:hideMark/>
          </w:tcPr>
          <w:p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2 000,0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1 06 00000 00 0000 000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НАЛОГИ НА ИМУЩЕСТВО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38 104,0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1 06 01000 00 0000 110</w:t>
            </w:r>
          </w:p>
        </w:tc>
        <w:tc>
          <w:tcPr>
            <w:tcW w:w="5103" w:type="dxa"/>
            <w:noWrap/>
            <w:hideMark/>
          </w:tcPr>
          <w:p>
            <w:r>
              <w:t>Налог на имущество физических лиц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7 046,0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1 06 01020 04 0000 110</w:t>
            </w:r>
          </w:p>
        </w:tc>
        <w:tc>
          <w:tcPr>
            <w:tcW w:w="5103" w:type="dxa"/>
            <w:hideMark/>
          </w:tcPr>
          <w:p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7 046,0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1 06 06000 00 0000 110</w:t>
            </w:r>
          </w:p>
        </w:tc>
        <w:tc>
          <w:tcPr>
            <w:tcW w:w="5103" w:type="dxa"/>
            <w:hideMark/>
          </w:tcPr>
          <w:p>
            <w:r>
              <w:t>Земельный налог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31 058,0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1 06 06030 00 0000 110</w:t>
            </w:r>
          </w:p>
        </w:tc>
        <w:tc>
          <w:tcPr>
            <w:tcW w:w="5103" w:type="dxa"/>
            <w:hideMark/>
          </w:tcPr>
          <w:p>
            <w:r>
              <w:t>Земельный налог с организаций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27 388,0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lastRenderedPageBreak/>
              <w:t>1 06 06032 04 0000 110</w:t>
            </w:r>
          </w:p>
        </w:tc>
        <w:tc>
          <w:tcPr>
            <w:tcW w:w="5103" w:type="dxa"/>
            <w:hideMark/>
          </w:tcPr>
          <w:p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27 388,0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1 06 06040 00 0000 110</w:t>
            </w:r>
          </w:p>
        </w:tc>
        <w:tc>
          <w:tcPr>
            <w:tcW w:w="5103" w:type="dxa"/>
            <w:hideMark/>
          </w:tcPr>
          <w:p>
            <w:r>
              <w:t>Земельный налог с физических лиц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3 670,0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1 06 06042 04 0000 110</w:t>
            </w:r>
          </w:p>
        </w:tc>
        <w:tc>
          <w:tcPr>
            <w:tcW w:w="5103" w:type="dxa"/>
            <w:hideMark/>
          </w:tcPr>
          <w:p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3 670,0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1 08 00000 00 0000 000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ГОСУДАРСТВЕННАЯ ПОШЛИНА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2 723,0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1 08 03000 01 0000 110</w:t>
            </w:r>
          </w:p>
        </w:tc>
        <w:tc>
          <w:tcPr>
            <w:tcW w:w="5103" w:type="dxa"/>
            <w:hideMark/>
          </w:tcPr>
          <w:p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2 718,0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1 08 03010 01 0000 110</w:t>
            </w:r>
          </w:p>
        </w:tc>
        <w:tc>
          <w:tcPr>
            <w:tcW w:w="5103" w:type="dxa"/>
            <w:hideMark/>
          </w:tcPr>
          <w:p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2 718,0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1 08 07000 01 0000 110</w:t>
            </w:r>
          </w:p>
        </w:tc>
        <w:tc>
          <w:tcPr>
            <w:tcW w:w="5103" w:type="dxa"/>
            <w:hideMark/>
          </w:tcPr>
          <w:p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1 08 07150 01 0000 110</w:t>
            </w:r>
          </w:p>
        </w:tc>
        <w:tc>
          <w:tcPr>
            <w:tcW w:w="5103" w:type="dxa"/>
            <w:hideMark/>
          </w:tcPr>
          <w:p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1 11 00000 00 0000 000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65 346,2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1 11 05000 00 0000 120</w:t>
            </w:r>
          </w:p>
        </w:tc>
        <w:tc>
          <w:tcPr>
            <w:tcW w:w="5103" w:type="dxa"/>
            <w:hideMark/>
          </w:tcPr>
          <w:p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65 346,2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1 11 05010 00 0000 120</w:t>
            </w:r>
          </w:p>
        </w:tc>
        <w:tc>
          <w:tcPr>
            <w:tcW w:w="5103" w:type="dxa"/>
            <w:hideMark/>
          </w:tcPr>
          <w:p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16 353,6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1 11 05012 04 0000 120</w:t>
            </w:r>
          </w:p>
        </w:tc>
        <w:tc>
          <w:tcPr>
            <w:tcW w:w="5103" w:type="dxa"/>
            <w:hideMark/>
          </w:tcPr>
          <w:p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16 353,6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1 11 05020 00 0000  120</w:t>
            </w:r>
          </w:p>
        </w:tc>
        <w:tc>
          <w:tcPr>
            <w:tcW w:w="5103" w:type="dxa"/>
            <w:hideMark/>
          </w:tcPr>
          <w:p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4 581,2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1 11 05024 04 0000 120</w:t>
            </w:r>
          </w:p>
        </w:tc>
        <w:tc>
          <w:tcPr>
            <w:tcW w:w="5103" w:type="dxa"/>
            <w:hideMark/>
          </w:tcPr>
          <w:p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4 581,2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1 11 05030 00 0000 120</w:t>
            </w:r>
          </w:p>
        </w:tc>
        <w:tc>
          <w:tcPr>
            <w:tcW w:w="5103" w:type="dxa"/>
            <w:hideMark/>
          </w:tcPr>
          <w:p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118,6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 xml:space="preserve">1 11 05034 04 0000 120 </w:t>
            </w:r>
          </w:p>
        </w:tc>
        <w:tc>
          <w:tcPr>
            <w:tcW w:w="5103" w:type="dxa"/>
            <w:hideMark/>
          </w:tcPr>
          <w:p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118,6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lastRenderedPageBreak/>
              <w:t>1 11 05070 00 0000 120</w:t>
            </w:r>
          </w:p>
        </w:tc>
        <w:tc>
          <w:tcPr>
            <w:tcW w:w="5103" w:type="dxa"/>
            <w:hideMark/>
          </w:tcPr>
          <w:p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44 246,2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1 11 05074 04 0000 120</w:t>
            </w:r>
          </w:p>
        </w:tc>
        <w:tc>
          <w:tcPr>
            <w:tcW w:w="5103" w:type="dxa"/>
            <w:hideMark/>
          </w:tcPr>
          <w:p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44 246,2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1 11 05300 00 0000 120</w:t>
            </w:r>
          </w:p>
        </w:tc>
        <w:tc>
          <w:tcPr>
            <w:tcW w:w="5103" w:type="dxa"/>
            <w:hideMark/>
          </w:tcPr>
          <w:p>
            <w: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1 11 05320 00 0000 120</w:t>
            </w:r>
          </w:p>
        </w:tc>
        <w:tc>
          <w:tcPr>
            <w:tcW w:w="5103" w:type="dxa"/>
            <w:hideMark/>
          </w:tcPr>
          <w:p>
            <w: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1 11 05324 04 0000 120</w:t>
            </w:r>
          </w:p>
        </w:tc>
        <w:tc>
          <w:tcPr>
            <w:tcW w:w="5103" w:type="dxa"/>
            <w:hideMark/>
          </w:tcPr>
          <w:p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1 11 09040 00 0000 120</w:t>
            </w:r>
          </w:p>
        </w:tc>
        <w:tc>
          <w:tcPr>
            <w:tcW w:w="5103" w:type="dxa"/>
            <w:hideMark/>
          </w:tcPr>
          <w:p>
            <w: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1 11 09044 04 0000 120</w:t>
            </w:r>
          </w:p>
        </w:tc>
        <w:tc>
          <w:tcPr>
            <w:tcW w:w="5103" w:type="dxa"/>
            <w:hideMark/>
          </w:tcPr>
          <w:p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44,0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1 12 00000 00 0000 000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480,5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1 12 01000 01 0000 120</w:t>
            </w:r>
          </w:p>
        </w:tc>
        <w:tc>
          <w:tcPr>
            <w:tcW w:w="5103" w:type="dxa"/>
            <w:hideMark/>
          </w:tcPr>
          <w:p>
            <w:r>
              <w:t>Плата за негативное воздействие на окружающую среду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480,5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1 12 01010 01 6000 120</w:t>
            </w:r>
          </w:p>
        </w:tc>
        <w:tc>
          <w:tcPr>
            <w:tcW w:w="5103" w:type="dxa"/>
            <w:hideMark/>
          </w:tcPr>
          <w:p>
            <w: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1 12 01030 01 6000 120</w:t>
            </w:r>
          </w:p>
        </w:tc>
        <w:tc>
          <w:tcPr>
            <w:tcW w:w="5103" w:type="dxa"/>
            <w:hideMark/>
          </w:tcPr>
          <w:p>
            <w: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41,9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1 12 01040 01 0000 120</w:t>
            </w:r>
          </w:p>
        </w:tc>
        <w:tc>
          <w:tcPr>
            <w:tcW w:w="5103" w:type="dxa"/>
            <w:hideMark/>
          </w:tcPr>
          <w:p>
            <w:r>
              <w:t>Плата за размещение отходов производства и потребления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408,6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1 12 01041 01 6000 120</w:t>
            </w:r>
          </w:p>
        </w:tc>
        <w:tc>
          <w:tcPr>
            <w:tcW w:w="5103" w:type="dxa"/>
            <w:hideMark/>
          </w:tcPr>
          <w:p>
            <w: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380,4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1 12 01042 01 6000 120</w:t>
            </w:r>
          </w:p>
        </w:tc>
        <w:tc>
          <w:tcPr>
            <w:tcW w:w="5103" w:type="dxa"/>
            <w:hideMark/>
          </w:tcPr>
          <w:p>
            <w: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28,2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432,3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1 13 02000 00 0000 130</w:t>
            </w:r>
          </w:p>
        </w:tc>
        <w:tc>
          <w:tcPr>
            <w:tcW w:w="5103" w:type="dxa"/>
            <w:hideMark/>
          </w:tcPr>
          <w:p>
            <w:r>
              <w:t>Доходы от компенсации затрат государства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432,3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1 13 02990 00 0000 130</w:t>
            </w:r>
          </w:p>
        </w:tc>
        <w:tc>
          <w:tcPr>
            <w:tcW w:w="5103" w:type="dxa"/>
            <w:hideMark/>
          </w:tcPr>
          <w:p>
            <w:r>
              <w:t>Прочие доходы от компенсации затрат государства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432,3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1 13 02994 04 0000 130</w:t>
            </w:r>
          </w:p>
        </w:tc>
        <w:tc>
          <w:tcPr>
            <w:tcW w:w="5103" w:type="dxa"/>
            <w:hideMark/>
          </w:tcPr>
          <w:p>
            <w:r>
              <w:t>Прочие доходы от компенсации затрат бюджетов городских округов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432,3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1 14 00000 00 0000 000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8 454,5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1 14 06000 00 0000 430</w:t>
            </w:r>
          </w:p>
        </w:tc>
        <w:tc>
          <w:tcPr>
            <w:tcW w:w="5103" w:type="dxa"/>
            <w:hideMark/>
          </w:tcPr>
          <w:p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1 296,0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lastRenderedPageBreak/>
              <w:t>1 14 06010 00 0000 430</w:t>
            </w:r>
          </w:p>
        </w:tc>
        <w:tc>
          <w:tcPr>
            <w:tcW w:w="5103" w:type="dxa"/>
            <w:hideMark/>
          </w:tcPr>
          <w:p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813,0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1 14 06012 04 0000 430</w:t>
            </w:r>
          </w:p>
        </w:tc>
        <w:tc>
          <w:tcPr>
            <w:tcW w:w="5103" w:type="dxa"/>
            <w:hideMark/>
          </w:tcPr>
          <w:p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813,0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1 14 06020 00 0000 430</w:t>
            </w:r>
          </w:p>
        </w:tc>
        <w:tc>
          <w:tcPr>
            <w:tcW w:w="5103" w:type="dxa"/>
            <w:hideMark/>
          </w:tcPr>
          <w:p>
            <w: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483,0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1 14 06024 04 0000 430</w:t>
            </w:r>
          </w:p>
        </w:tc>
        <w:tc>
          <w:tcPr>
            <w:tcW w:w="5103" w:type="dxa"/>
            <w:hideMark/>
          </w:tcPr>
          <w:p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483,0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1 14 13000 00 0000 000</w:t>
            </w:r>
          </w:p>
        </w:tc>
        <w:tc>
          <w:tcPr>
            <w:tcW w:w="5103" w:type="dxa"/>
            <w:hideMark/>
          </w:tcPr>
          <w:p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7 158,5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1 14 13040 04 0000 410</w:t>
            </w:r>
          </w:p>
        </w:tc>
        <w:tc>
          <w:tcPr>
            <w:tcW w:w="5103" w:type="dxa"/>
            <w:hideMark/>
          </w:tcPr>
          <w:p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7 158,5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1 16 00000 00 0000 000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36 730,7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1 16 01000 01 0000 140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36 706,9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1 16 01050 01 0000 140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79,3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1 16 01053 01 0000 140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79,3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1 16 01060 01 0000 140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198,6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1 16 01063 01 0000 140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198,6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1 16 01070 01 0000 140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24,7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1 16 01073 01 0000 140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24,7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1 16 01080 01 0000 140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lastRenderedPageBreak/>
              <w:t>1 16 01083 01 0000 140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70,0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1 16 01090 01 0000 140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1 16 01093 01 0000 140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1 16 01100 01 0000 140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6,0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1 16 01103 01 0000 140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6,0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1 16 01110 01 0000 140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1 16 01113 01 0000 140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1 16 01130 01 0000 140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  <w:p/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1 16 01133 01 0000 140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1 16 01140 01 0000 140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25,0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1 16 01143 01 0000 140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25,0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lastRenderedPageBreak/>
              <w:t>1 16 01150 01 0000 140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1 16 01153 01 0000 140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4,0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1 16 01160 01 0000 140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1 16 01163 01 0000 140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1 16 01170 01 0000 140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34,0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1 16 01173 01 0000 140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34,0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1 16 01180 01 0000 140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10,0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1 16 01183 01 0000 140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1 16 01190 01 0000 140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170,0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1 16 01193 01 0000 140</w:t>
            </w:r>
          </w:p>
        </w:tc>
        <w:tc>
          <w:tcPr>
            <w:tcW w:w="5103" w:type="dxa"/>
            <w:hideMark/>
          </w:tcPr>
          <w:p>
            <w: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lastRenderedPageBreak/>
              <w:t>170,0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lastRenderedPageBreak/>
              <w:t>1 16 01200 01 0000 140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303,9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1 16 01203 01 0000 140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303,9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1 16 01210 01 0000 140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1 16 01213 01 0000 140</w:t>
            </w:r>
          </w:p>
        </w:tc>
        <w:tc>
          <w:tcPr>
            <w:tcW w:w="5103" w:type="dxa"/>
            <w:hideMark/>
          </w:tcPr>
          <w:p>
            <w: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1 16 09000 00 0000 140</w:t>
            </w:r>
          </w:p>
        </w:tc>
        <w:tc>
          <w:tcPr>
            <w:tcW w:w="5103" w:type="dxa"/>
            <w:hideMark/>
          </w:tcPr>
          <w:p>
            <w: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  <w:p/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35 770,4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1 16 09040 04 0000 140</w:t>
            </w:r>
          </w:p>
        </w:tc>
        <w:tc>
          <w:tcPr>
            <w:tcW w:w="5103" w:type="dxa"/>
            <w:hideMark/>
          </w:tcPr>
          <w:p>
            <w: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35 770,4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1 16 10000 00 0000 140</w:t>
            </w:r>
          </w:p>
        </w:tc>
        <w:tc>
          <w:tcPr>
            <w:tcW w:w="5103" w:type="dxa"/>
            <w:hideMark/>
          </w:tcPr>
          <w:p>
            <w:r>
              <w:t>Платежи в целях возмещения причиненного ущерба (убытков)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23,8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1 16 10100 00 0000 140</w:t>
            </w:r>
          </w:p>
        </w:tc>
        <w:tc>
          <w:tcPr>
            <w:tcW w:w="5103" w:type="dxa"/>
            <w:hideMark/>
          </w:tcPr>
          <w:p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23,8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1 16 10100 04 0000 140</w:t>
            </w:r>
          </w:p>
        </w:tc>
        <w:tc>
          <w:tcPr>
            <w:tcW w:w="5103" w:type="dxa"/>
            <w:hideMark/>
          </w:tcPr>
          <w:p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23,8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1 16 10120 00 0000 140</w:t>
            </w:r>
          </w:p>
        </w:tc>
        <w:tc>
          <w:tcPr>
            <w:tcW w:w="5103" w:type="dxa"/>
            <w:hideMark/>
          </w:tcPr>
          <w:p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23,8</w:t>
            </w:r>
          </w:p>
        </w:tc>
      </w:tr>
      <w:tr>
        <w:trPr>
          <w:trHeight w:val="20"/>
        </w:trPr>
        <w:tc>
          <w:tcPr>
            <w:tcW w:w="2689" w:type="dxa"/>
            <w:noWrap/>
          </w:tcPr>
          <w:p>
            <w:r>
              <w:t>1 16 10123 01 0000 140</w:t>
            </w:r>
          </w:p>
        </w:tc>
        <w:tc>
          <w:tcPr>
            <w:tcW w:w="5103" w:type="dxa"/>
          </w:tcPr>
          <w:p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</w:pPr>
            <w:r>
              <w:t>23,8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2 00 00000 00 0000 000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1 771 063</w:t>
            </w:r>
            <w:r>
              <w:rPr>
                <w:b/>
              </w:rPr>
              <w:t>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2 02 00000 00 0000 000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1 771 063,9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2 02 20000 00 0000 150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577 670,8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2 02 25179 00 0000 150</w:t>
            </w:r>
          </w:p>
        </w:tc>
        <w:tc>
          <w:tcPr>
            <w:tcW w:w="5103" w:type="dxa"/>
            <w:hideMark/>
          </w:tcPr>
          <w:p>
            <w:pPr>
              <w:autoSpaceDE w:val="0"/>
              <w:autoSpaceDN w:val="0"/>
              <w:adjustRightInd w:val="0"/>
            </w:pPr>
            <w: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1 861,2</w:t>
            </w:r>
          </w:p>
        </w:tc>
      </w:tr>
      <w:tr>
        <w:trPr>
          <w:trHeight w:val="230"/>
        </w:trPr>
        <w:tc>
          <w:tcPr>
            <w:tcW w:w="2689" w:type="dxa"/>
            <w:vMerge w:val="restart"/>
            <w:noWrap/>
            <w:hideMark/>
          </w:tcPr>
          <w:p>
            <w:r>
              <w:lastRenderedPageBreak/>
              <w:t>2 02 25179 04 0000 150</w:t>
            </w:r>
          </w:p>
        </w:tc>
        <w:tc>
          <w:tcPr>
            <w:tcW w:w="5103" w:type="dxa"/>
            <w:vMerge w:val="restart"/>
            <w:hideMark/>
          </w:tcPr>
          <w:p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95" w:type="dxa"/>
            <w:vMerge w:val="restart"/>
            <w:vAlign w:val="center"/>
            <w:hideMark/>
          </w:tcPr>
          <w:p>
            <w:pPr>
              <w:jc w:val="center"/>
            </w:pPr>
            <w:r>
              <w:t>1 861,2</w:t>
            </w:r>
          </w:p>
        </w:tc>
      </w:tr>
      <w:tr>
        <w:trPr>
          <w:trHeight w:val="230"/>
        </w:trPr>
        <w:tc>
          <w:tcPr>
            <w:tcW w:w="2689" w:type="dxa"/>
            <w:vMerge/>
            <w:hideMark/>
          </w:tcPr>
          <w:p/>
        </w:tc>
        <w:tc>
          <w:tcPr>
            <w:tcW w:w="5103" w:type="dxa"/>
            <w:vMerge/>
            <w:hideMark/>
          </w:tcPr>
          <w:p/>
        </w:tc>
        <w:tc>
          <w:tcPr>
            <w:tcW w:w="1695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2 02 25304 00 0000 150</w:t>
            </w:r>
          </w:p>
        </w:tc>
        <w:tc>
          <w:tcPr>
            <w:tcW w:w="5103" w:type="dxa"/>
            <w:hideMark/>
          </w:tcPr>
          <w:p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24 499,2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2 02 25304 04 0000 150</w:t>
            </w:r>
          </w:p>
        </w:tc>
        <w:tc>
          <w:tcPr>
            <w:tcW w:w="5103" w:type="dxa"/>
            <w:hideMark/>
          </w:tcPr>
          <w:p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24 499,2</w:t>
            </w:r>
          </w:p>
        </w:tc>
      </w:tr>
      <w:tr>
        <w:trPr>
          <w:trHeight w:val="20"/>
        </w:trPr>
        <w:tc>
          <w:tcPr>
            <w:tcW w:w="2689" w:type="dxa"/>
            <w:noWrap/>
          </w:tcPr>
          <w:p>
            <w:r>
              <w:t>2 02 25394 00 0000 150</w:t>
            </w:r>
          </w:p>
        </w:tc>
        <w:tc>
          <w:tcPr>
            <w:tcW w:w="5103" w:type="dxa"/>
          </w:tcPr>
          <w:p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695" w:type="dxa"/>
            <w:noWrap/>
            <w:vAlign w:val="center"/>
          </w:tcPr>
          <w:p>
            <w:pPr>
              <w:jc w:val="center"/>
            </w:pPr>
            <w:r>
              <w:t>71 348,6</w:t>
            </w:r>
          </w:p>
        </w:tc>
      </w:tr>
      <w:tr>
        <w:trPr>
          <w:trHeight w:val="20"/>
        </w:trPr>
        <w:tc>
          <w:tcPr>
            <w:tcW w:w="2689" w:type="dxa"/>
            <w:noWrap/>
          </w:tcPr>
          <w:p>
            <w:r>
              <w:t>2 02 25394 04 0000 150</w:t>
            </w:r>
          </w:p>
        </w:tc>
        <w:tc>
          <w:tcPr>
            <w:tcW w:w="5103" w:type="dxa"/>
          </w:tcPr>
          <w:p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695" w:type="dxa"/>
            <w:noWrap/>
            <w:vAlign w:val="center"/>
          </w:tcPr>
          <w:p>
            <w:pPr>
              <w:jc w:val="center"/>
            </w:pPr>
            <w:r>
              <w:t>71,348,6</w:t>
            </w:r>
          </w:p>
        </w:tc>
      </w:tr>
      <w:tr>
        <w:trPr>
          <w:trHeight w:val="230"/>
        </w:trPr>
        <w:tc>
          <w:tcPr>
            <w:tcW w:w="2689" w:type="dxa"/>
            <w:vMerge w:val="restart"/>
            <w:noWrap/>
            <w:hideMark/>
          </w:tcPr>
          <w:p>
            <w:r>
              <w:t>2 02 25424 00 0000 150</w:t>
            </w:r>
          </w:p>
        </w:tc>
        <w:tc>
          <w:tcPr>
            <w:tcW w:w="5103" w:type="dxa"/>
            <w:vMerge w:val="restart"/>
            <w:hideMark/>
          </w:tcPr>
          <w:p>
            <w:r>
              <w:t>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95" w:type="dxa"/>
            <w:vMerge w:val="restart"/>
            <w:noWrap/>
            <w:vAlign w:val="center"/>
            <w:hideMark/>
          </w:tcPr>
          <w:p>
            <w:pPr>
              <w:jc w:val="center"/>
            </w:pPr>
            <w:r>
              <w:t>51 020,5</w:t>
            </w:r>
          </w:p>
        </w:tc>
      </w:tr>
      <w:tr>
        <w:trPr>
          <w:trHeight w:val="230"/>
        </w:trPr>
        <w:tc>
          <w:tcPr>
            <w:tcW w:w="2689" w:type="dxa"/>
            <w:vMerge/>
            <w:hideMark/>
          </w:tcPr>
          <w:p/>
        </w:tc>
        <w:tc>
          <w:tcPr>
            <w:tcW w:w="5103" w:type="dxa"/>
            <w:vMerge/>
            <w:hideMark/>
          </w:tcPr>
          <w:p/>
        </w:tc>
        <w:tc>
          <w:tcPr>
            <w:tcW w:w="1695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</w:trPr>
        <w:tc>
          <w:tcPr>
            <w:tcW w:w="2689" w:type="dxa"/>
            <w:vMerge w:val="restart"/>
            <w:noWrap/>
            <w:hideMark/>
          </w:tcPr>
          <w:p>
            <w:r>
              <w:t>2 02 25424 04 0000 150</w:t>
            </w:r>
          </w:p>
        </w:tc>
        <w:tc>
          <w:tcPr>
            <w:tcW w:w="5103" w:type="dxa"/>
            <w:vMerge w:val="restart"/>
            <w:hideMark/>
          </w:tcPr>
          <w:p>
            <w: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95" w:type="dxa"/>
            <w:vMerge w:val="restart"/>
            <w:noWrap/>
            <w:vAlign w:val="center"/>
            <w:hideMark/>
          </w:tcPr>
          <w:p>
            <w:pPr>
              <w:jc w:val="center"/>
            </w:pPr>
            <w:r>
              <w:t>51 020,5</w:t>
            </w:r>
          </w:p>
        </w:tc>
      </w:tr>
      <w:tr>
        <w:trPr>
          <w:trHeight w:val="230"/>
        </w:trPr>
        <w:tc>
          <w:tcPr>
            <w:tcW w:w="2689" w:type="dxa"/>
            <w:vMerge/>
            <w:hideMark/>
          </w:tcPr>
          <w:p/>
        </w:tc>
        <w:tc>
          <w:tcPr>
            <w:tcW w:w="5103" w:type="dxa"/>
            <w:vMerge/>
            <w:hideMark/>
          </w:tcPr>
          <w:p/>
        </w:tc>
        <w:tc>
          <w:tcPr>
            <w:tcW w:w="1695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</w:trPr>
        <w:tc>
          <w:tcPr>
            <w:tcW w:w="2689" w:type="dxa"/>
            <w:noWrap/>
          </w:tcPr>
          <w:p>
            <w:r>
              <w:t>2 02 25470 00 0000 150</w:t>
            </w:r>
          </w:p>
        </w:tc>
        <w:tc>
          <w:tcPr>
            <w:tcW w:w="5103" w:type="dxa"/>
          </w:tcPr>
          <w:p>
            <w:r>
              <w:t>Субсидии бюджетам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695" w:type="dxa"/>
            <w:noWrap/>
            <w:vAlign w:val="center"/>
          </w:tcPr>
          <w:p>
            <w:r>
              <w:t xml:space="preserve">      126 056,8   </w:t>
            </w:r>
          </w:p>
          <w:p>
            <w:pPr>
              <w:jc w:val="center"/>
            </w:pPr>
          </w:p>
        </w:tc>
      </w:tr>
      <w:tr>
        <w:trPr>
          <w:trHeight w:val="20"/>
        </w:trPr>
        <w:tc>
          <w:tcPr>
            <w:tcW w:w="2689" w:type="dxa"/>
            <w:noWrap/>
          </w:tcPr>
          <w:p>
            <w:r>
              <w:t>2 02 25470 04 0000 150</w:t>
            </w:r>
          </w:p>
        </w:tc>
        <w:tc>
          <w:tcPr>
            <w:tcW w:w="5103" w:type="dxa"/>
          </w:tcPr>
          <w:p>
            <w:r>
              <w:t>Субсидии бюджетам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695" w:type="dxa"/>
            <w:noWrap/>
            <w:vAlign w:val="center"/>
          </w:tcPr>
          <w:p>
            <w:pPr>
              <w:jc w:val="center"/>
            </w:pPr>
            <w:r>
              <w:t xml:space="preserve">   126 056,8   </w:t>
            </w:r>
          </w:p>
          <w:p>
            <w:pPr>
              <w:jc w:val="center"/>
            </w:pP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2 02 25497 00 0000 150</w:t>
            </w:r>
          </w:p>
        </w:tc>
        <w:tc>
          <w:tcPr>
            <w:tcW w:w="5103" w:type="dxa"/>
            <w:hideMark/>
          </w:tcPr>
          <w:p>
            <w: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13 989,1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2 02 25497 04 0000 150</w:t>
            </w:r>
          </w:p>
        </w:tc>
        <w:tc>
          <w:tcPr>
            <w:tcW w:w="5103" w:type="dxa"/>
            <w:hideMark/>
          </w:tcPr>
          <w:p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13 989,1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2 02 25555 00 0000 150</w:t>
            </w:r>
          </w:p>
        </w:tc>
        <w:tc>
          <w:tcPr>
            <w:tcW w:w="5103" w:type="dxa"/>
            <w:hideMark/>
          </w:tcPr>
          <w:p>
            <w: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20 408,2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2 0225555 04 0000 150</w:t>
            </w:r>
          </w:p>
        </w:tc>
        <w:tc>
          <w:tcPr>
            <w:tcW w:w="5103" w:type="dxa"/>
            <w:hideMark/>
          </w:tcPr>
          <w:p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20 408,2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2 02 29999 00 0000 150</w:t>
            </w:r>
          </w:p>
        </w:tc>
        <w:tc>
          <w:tcPr>
            <w:tcW w:w="5103" w:type="dxa"/>
            <w:hideMark/>
          </w:tcPr>
          <w:p>
            <w:r>
              <w:t>Прочие субсидии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268 487,2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2 02 29999 04 0000 150</w:t>
            </w:r>
          </w:p>
        </w:tc>
        <w:tc>
          <w:tcPr>
            <w:tcW w:w="5103" w:type="dxa"/>
            <w:hideMark/>
          </w:tcPr>
          <w:p>
            <w:r>
              <w:t>Прочие субсидии бюджетам городских округов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268 487,2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2 02 30000 00 0000 150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1 172 456,9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2 02 35120 00 0000 150</w:t>
            </w:r>
          </w:p>
        </w:tc>
        <w:tc>
          <w:tcPr>
            <w:tcW w:w="5103" w:type="dxa"/>
            <w:hideMark/>
          </w:tcPr>
          <w:p>
            <w: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9,0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2 02 35120 04 0000 150</w:t>
            </w:r>
          </w:p>
        </w:tc>
        <w:tc>
          <w:tcPr>
            <w:tcW w:w="5103" w:type="dxa"/>
            <w:hideMark/>
          </w:tcPr>
          <w:p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9,0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lastRenderedPageBreak/>
              <w:t>2 02 35082 00 0000 150</w:t>
            </w:r>
          </w:p>
        </w:tc>
        <w:tc>
          <w:tcPr>
            <w:tcW w:w="5103" w:type="dxa"/>
            <w:hideMark/>
          </w:tcPr>
          <w:p>
            <w: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26 037,3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2 02 35082 04 0000 150</w:t>
            </w:r>
          </w:p>
        </w:tc>
        <w:tc>
          <w:tcPr>
            <w:tcW w:w="5103" w:type="dxa"/>
            <w:hideMark/>
          </w:tcPr>
          <w:p>
            <w: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26 037,3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2 02 30029 00 0000 150</w:t>
            </w:r>
          </w:p>
        </w:tc>
        <w:tc>
          <w:tcPr>
            <w:tcW w:w="5103" w:type="dxa"/>
            <w:hideMark/>
          </w:tcPr>
          <w:p>
            <w: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298,5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2 02 30029 04 0000 150</w:t>
            </w:r>
          </w:p>
        </w:tc>
        <w:tc>
          <w:tcPr>
            <w:tcW w:w="5103" w:type="dxa"/>
            <w:hideMark/>
          </w:tcPr>
          <w:p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298,5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2 02 35930 00 0000 150</w:t>
            </w:r>
          </w:p>
        </w:tc>
        <w:tc>
          <w:tcPr>
            <w:tcW w:w="5103" w:type="dxa"/>
            <w:hideMark/>
          </w:tcPr>
          <w:p>
            <w:pPr>
              <w:autoSpaceDE w:val="0"/>
              <w:autoSpaceDN w:val="0"/>
              <w:adjustRightInd w:val="0"/>
            </w:pPr>
            <w:r>
              <w:t>Субвенции бюджетам на государственную регистрацию актов гражданского состояния</w:t>
            </w:r>
          </w:p>
          <w:p/>
        </w:tc>
        <w:tc>
          <w:tcPr>
            <w:tcW w:w="1695" w:type="dxa"/>
            <w:noWrap/>
            <w:vAlign w:val="center"/>
            <w:hideMark/>
          </w:tcPr>
          <w:p>
            <w:r>
              <w:t xml:space="preserve">        1 848,6   </w:t>
            </w:r>
          </w:p>
          <w:p/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2 02 35930 04 0000 150</w:t>
            </w:r>
          </w:p>
        </w:tc>
        <w:tc>
          <w:tcPr>
            <w:tcW w:w="5103" w:type="dxa"/>
            <w:hideMark/>
          </w:tcPr>
          <w:p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695" w:type="dxa"/>
            <w:vAlign w:val="center"/>
            <w:hideMark/>
          </w:tcPr>
          <w:p>
            <w:r>
              <w:t xml:space="preserve">        1 848,6   </w:t>
            </w:r>
          </w:p>
          <w:p/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2 02 39999 00 0000 150</w:t>
            </w:r>
          </w:p>
        </w:tc>
        <w:tc>
          <w:tcPr>
            <w:tcW w:w="5103" w:type="dxa"/>
            <w:hideMark/>
          </w:tcPr>
          <w:p>
            <w:r>
              <w:t>Прочие субвенции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1 144 263,5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2 02 39999 04 0000 150</w:t>
            </w:r>
          </w:p>
        </w:tc>
        <w:tc>
          <w:tcPr>
            <w:tcW w:w="5103" w:type="dxa"/>
            <w:hideMark/>
          </w:tcPr>
          <w:p>
            <w:r>
              <w:t>Прочие субвенции бюджетам городских округов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</w:pPr>
            <w:r>
              <w:t>1 144 263,5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2 02 40000 00 0000 150</w:t>
            </w:r>
          </w:p>
        </w:tc>
        <w:tc>
          <w:tcPr>
            <w:tcW w:w="5103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Иные межбюджетные трансферты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20 936,2</w:t>
            </w: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2 02 45303 00 0000 150</w:t>
            </w:r>
          </w:p>
        </w:tc>
        <w:tc>
          <w:tcPr>
            <w:tcW w:w="5103" w:type="dxa"/>
            <w:hideMark/>
          </w:tcPr>
          <w:p>
            <w: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95" w:type="dxa"/>
            <w:vAlign w:val="center"/>
            <w:hideMark/>
          </w:tcPr>
          <w:p>
            <w:r>
              <w:t xml:space="preserve">     20 936,2   </w:t>
            </w:r>
          </w:p>
          <w:p>
            <w:pPr>
              <w:jc w:val="center"/>
            </w:pP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2 02 45303 04 0000 150</w:t>
            </w:r>
          </w:p>
        </w:tc>
        <w:tc>
          <w:tcPr>
            <w:tcW w:w="5103" w:type="dxa"/>
            <w:hideMark/>
          </w:tcPr>
          <w:p>
            <w:pPr>
              <w:autoSpaceDE w:val="0"/>
              <w:autoSpaceDN w:val="0"/>
              <w:adjustRightInd w:val="0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95" w:type="dxa"/>
            <w:vAlign w:val="center"/>
            <w:hideMark/>
          </w:tcPr>
          <w:p>
            <w:r>
              <w:t xml:space="preserve">     20 936,2   </w:t>
            </w:r>
          </w:p>
          <w:p>
            <w:pPr>
              <w:jc w:val="center"/>
            </w:pPr>
          </w:p>
        </w:tc>
      </w:tr>
      <w:tr>
        <w:trPr>
          <w:trHeight w:val="20"/>
        </w:trPr>
        <w:tc>
          <w:tcPr>
            <w:tcW w:w="2689" w:type="dxa"/>
            <w:noWrap/>
            <w:hideMark/>
          </w:tcPr>
          <w:p>
            <w:r>
              <w:t> </w:t>
            </w:r>
          </w:p>
        </w:tc>
        <w:tc>
          <w:tcPr>
            <w:tcW w:w="5103" w:type="dxa"/>
            <w:hideMark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1695" w:type="dxa"/>
            <w:noWrap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2 752 649,4</w:t>
            </w:r>
          </w:p>
        </w:tc>
      </w:tr>
      <w:tr>
        <w:trPr>
          <w:trHeight w:val="20"/>
        </w:trPr>
        <w:tc>
          <w:tcPr>
            <w:tcW w:w="2689" w:type="dxa"/>
            <w:hideMark/>
          </w:tcPr>
          <w:p>
            <w:r>
              <w:t>Справочно:</w:t>
            </w:r>
          </w:p>
        </w:tc>
        <w:tc>
          <w:tcPr>
            <w:tcW w:w="5103" w:type="dxa"/>
            <w:hideMark/>
          </w:tcPr>
          <w:p>
            <w:r>
              <w:t> 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</w:trPr>
        <w:tc>
          <w:tcPr>
            <w:tcW w:w="7792" w:type="dxa"/>
            <w:gridSpan w:val="2"/>
            <w:hideMark/>
          </w:tcPr>
          <w:p>
            <w:r>
              <w:t>Собственные доходы бюджета городского округа Анадырь</w:t>
            </w:r>
          </w:p>
          <w:p>
            <w:r>
              <w:t> 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1 580 192,5</w:t>
            </w:r>
          </w:p>
        </w:tc>
      </w:tr>
      <w:tr>
        <w:trPr>
          <w:trHeight w:val="20"/>
        </w:trPr>
        <w:tc>
          <w:tcPr>
            <w:tcW w:w="7792" w:type="dxa"/>
            <w:gridSpan w:val="2"/>
            <w:hideMark/>
          </w:tcPr>
          <w:p>
            <w:r>
              <w:t>Доходы для расчета дефицита бюджета городского округа Анадырь и предельного объема муниципального долга</w:t>
            </w:r>
          </w:p>
          <w:p>
            <w:r>
              <w:t> </w:t>
            </w:r>
          </w:p>
        </w:tc>
        <w:tc>
          <w:tcPr>
            <w:tcW w:w="1695" w:type="dxa"/>
            <w:vAlign w:val="center"/>
            <w:hideMark/>
          </w:tcPr>
          <w:p>
            <w:pPr>
              <w:jc w:val="center"/>
            </w:pPr>
            <w:r>
              <w:t>981 585,5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2 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jc w:val="center"/>
      </w:pPr>
    </w:p>
    <w:p>
      <w:pPr>
        <w:jc w:val="center"/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бюджетов на 2025 и 2026 годы</w:t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p>
      <w:pPr>
        <w:rPr>
          <w:sz w:val="22"/>
          <w:szCs w:val="22"/>
        </w:rPr>
      </w:pPr>
    </w:p>
    <w:tbl>
      <w:tblPr>
        <w:tblStyle w:val="a3"/>
        <w:tblW w:w="9561" w:type="dxa"/>
        <w:jc w:val="center"/>
        <w:tblInd w:w="0" w:type="dxa"/>
        <w:tblLook w:val="04A0" w:firstRow="1" w:lastRow="0" w:firstColumn="1" w:lastColumn="0" w:noHBand="0" w:noVBand="1"/>
      </w:tblPr>
      <w:tblGrid>
        <w:gridCol w:w="2689"/>
        <w:gridCol w:w="3969"/>
        <w:gridCol w:w="1424"/>
        <w:gridCol w:w="1479"/>
      </w:tblGrid>
      <w:tr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</w:tr>
    </w:tbl>
    <w:p>
      <w:pPr>
        <w:rPr>
          <w:sz w:val="2"/>
          <w:szCs w:val="2"/>
        </w:rPr>
      </w:pPr>
    </w:p>
    <w:p>
      <w:pPr>
        <w:jc w:val="center"/>
        <w:rPr>
          <w:sz w:val="2"/>
          <w:szCs w:val="2"/>
        </w:rPr>
      </w:pPr>
    </w:p>
    <w:tbl>
      <w:tblPr>
        <w:tblStyle w:val="a3"/>
        <w:tblW w:w="9493" w:type="dxa"/>
        <w:jc w:val="center"/>
        <w:tblInd w:w="0" w:type="dxa"/>
        <w:tblLook w:val="04A0" w:firstRow="1" w:lastRow="0" w:firstColumn="1" w:lastColumn="0" w:noHBand="0" w:noVBand="1"/>
      </w:tblPr>
      <w:tblGrid>
        <w:gridCol w:w="2689"/>
        <w:gridCol w:w="3969"/>
        <w:gridCol w:w="1417"/>
        <w:gridCol w:w="1418"/>
      </w:tblGrid>
      <w:tr>
        <w:trPr>
          <w:trHeight w:val="20"/>
          <w:tblHeader/>
          <w:jc w:val="center"/>
        </w:trPr>
        <w:tc>
          <w:tcPr>
            <w:tcW w:w="2689" w:type="dxa"/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1 00 00000 00 0000 000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971 281,3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970 272,5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1 01 00000 00 0000 000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НАЛОГИ НА ПРИБЫЛЬ, ДОХОДЫ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716 026,0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720 023,0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1 01 02000 01 0000 110</w:t>
            </w:r>
          </w:p>
        </w:tc>
        <w:tc>
          <w:tcPr>
            <w:tcW w:w="3969" w:type="dxa"/>
            <w:hideMark/>
          </w:tcPr>
          <w:p>
            <w:r>
              <w:t>Налог на доходы физических лиц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716 026,0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720 023,0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1 01 02010 01 0000 110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664 653,0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667 245,0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1 01 02020 01 0000 110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897,0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939,0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1 01 02030 01 0000 110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6 397,0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6 422,0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1 01 02040 01 0000 110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2 451,0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2 566,0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1 01 02080 01 0000 110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</w:t>
            </w:r>
            <w:r>
              <w:rPr>
                <w:color w:val="000000"/>
              </w:rPr>
              <w:lastRenderedPageBreak/>
              <w:t>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lastRenderedPageBreak/>
              <w:t>24 493,0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25 647,0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lastRenderedPageBreak/>
              <w:t>000 1 01 02130 01 0000 110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1 746,0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1 754,0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000 1 01 02140 01 0000 110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15 389,0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15 450,0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10 003,6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13 491,1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1 03 02000 01 0000 110</w:t>
            </w:r>
          </w:p>
        </w:tc>
        <w:tc>
          <w:tcPr>
            <w:tcW w:w="3969" w:type="dxa"/>
            <w:hideMark/>
          </w:tcPr>
          <w:p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10 003,6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13 491,0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1 03 02230 01 0000 110</w:t>
            </w:r>
          </w:p>
        </w:tc>
        <w:tc>
          <w:tcPr>
            <w:tcW w:w="3969" w:type="dxa"/>
            <w:hideMark/>
          </w:tcPr>
          <w:p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4 648,3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6 168,5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1 03 02231 01 0000 110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1 700,4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2 256,5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1 03 02232 01 0000 110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2 947,9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3 912,0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1 03 02240 01 0000 110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33,4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46,4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1 03 02241 01 0000 110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lastRenderedPageBreak/>
              <w:t>12,2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17,0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1 03 02242 01 0000 110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21,2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29,4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1 03 02250 01 0000 110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6 026,9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8 332,2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1 03 02251 01 0000 110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2 204,7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3 048,0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1 03 02252 01 0000 110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3 822,2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5 284,2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1 03 02260 01 0000 110</w:t>
            </w:r>
          </w:p>
        </w:tc>
        <w:tc>
          <w:tcPr>
            <w:tcW w:w="3969" w:type="dxa"/>
            <w:hideMark/>
          </w:tcPr>
          <w:p>
            <w:pPr>
              <w:rPr>
                <w:bCs/>
              </w:rPr>
            </w:pPr>
            <w:r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-705,0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rPr>
                <w:bCs/>
              </w:rPr>
              <w:t>-1 056,0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1 03 02261 01 0000 110</w:t>
            </w:r>
          </w:p>
        </w:tc>
        <w:tc>
          <w:tcPr>
            <w:tcW w:w="3969" w:type="dxa"/>
            <w:hideMark/>
          </w:tcPr>
          <w:p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lastRenderedPageBreak/>
              <w:t>-257,9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-386,3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lastRenderedPageBreak/>
              <w:t>1 03 02262 01 0000 110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-447,1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-669,7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1 05 00000 00 0000 000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НАЛОГИ НА СОВОКУПНЫЙ ДОХОД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131 928,0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122 471,0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1 05 01000 00 0000 110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129 858,0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120 380,0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1 05 01010 01 0000 110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113 216,0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103 872,0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1 05 01011 01 0000 110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113 216,0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103 872,0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1 05 01020 01 0000 110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16 642,0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16 508,0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1 05 01021 01 0000 110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16 642,0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16 508,0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1 05 03000 01 0000 110</w:t>
            </w:r>
          </w:p>
        </w:tc>
        <w:tc>
          <w:tcPr>
            <w:tcW w:w="3969" w:type="dxa"/>
            <w:hideMark/>
          </w:tcPr>
          <w:p>
            <w:r>
              <w:t>Единый сельскохозяйственный налог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390,0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404,0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1 05 03010 01 0000 110</w:t>
            </w:r>
          </w:p>
        </w:tc>
        <w:tc>
          <w:tcPr>
            <w:tcW w:w="3969" w:type="dxa"/>
            <w:hideMark/>
          </w:tcPr>
          <w:p>
            <w:r>
              <w:t>Единый сельскохозяйственный налог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390,0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404,0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1 05 04000 02 0000 110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1 680,0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1 687,0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1 05 04010 02 0000 110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1 680,0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1 687,0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1 06 00000 00 0000 000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НАЛОГИ НА ИМУЩЕСТВО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38 571,0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39 047,0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1 06 01000 00 0000 110</w:t>
            </w:r>
          </w:p>
        </w:tc>
        <w:tc>
          <w:tcPr>
            <w:tcW w:w="3969" w:type="dxa"/>
            <w:hideMark/>
          </w:tcPr>
          <w:p>
            <w:r>
              <w:t>Налог на имущество физических лиц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7 053,0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7 060,0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1 06 01020 04 0000 110</w:t>
            </w:r>
          </w:p>
        </w:tc>
        <w:tc>
          <w:tcPr>
            <w:tcW w:w="3969" w:type="dxa"/>
            <w:hideMark/>
          </w:tcPr>
          <w:p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7 053,0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7 060,0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1 06 06000 00 0000 110</w:t>
            </w:r>
          </w:p>
        </w:tc>
        <w:tc>
          <w:tcPr>
            <w:tcW w:w="3969" w:type="dxa"/>
            <w:hideMark/>
          </w:tcPr>
          <w:p>
            <w:r>
              <w:t>Земельный налог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31 518,0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31 987,0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1 06 06030 00 0000 110</w:t>
            </w:r>
          </w:p>
        </w:tc>
        <w:tc>
          <w:tcPr>
            <w:tcW w:w="3969" w:type="dxa"/>
            <w:hideMark/>
          </w:tcPr>
          <w:p>
            <w:r>
              <w:t>Земельный налог с организаций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27 664,0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27 940,0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1 06 06032 04 0000 110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27 664,0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27 940,0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1 06 06040 00 0000 110</w:t>
            </w:r>
          </w:p>
        </w:tc>
        <w:tc>
          <w:tcPr>
            <w:tcW w:w="3969" w:type="dxa"/>
            <w:hideMark/>
          </w:tcPr>
          <w:p>
            <w:r>
              <w:t>Земельный налог с физических лиц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3 854,0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4 047,0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1 06 06042 04 0000 110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3 854,0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4 047,0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1 08 00000 00 0000 000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ГОСУДАРСТВЕННАЯ ПОШЛИНА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2 723,0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2 723,0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1 08 03000 01 0000 110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2 718,0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2 718,0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1 08 03010 01 0000 110</w:t>
            </w:r>
          </w:p>
        </w:tc>
        <w:tc>
          <w:tcPr>
            <w:tcW w:w="3969" w:type="dxa"/>
            <w:vMerge w:val="restart"/>
            <w:hideMark/>
          </w:tcPr>
          <w:p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2 718,0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2 718,0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lastRenderedPageBreak/>
              <w:t>1 08 07000 01 0000 110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1 08 07150 01 0000 110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1 11 00000 00 0000 000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64 784,2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65 265,0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1 11 05000 00 0000 120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64 784,2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65 265,0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1 11 05010 00 0000 120</w:t>
            </w:r>
          </w:p>
        </w:tc>
        <w:tc>
          <w:tcPr>
            <w:tcW w:w="3969" w:type="dxa"/>
            <w:hideMark/>
          </w:tcPr>
          <w:p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16 683,3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17 026,3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1 11 05012 04 0000 120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  <w:p/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16 683,3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17 026,3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1 11 05020 00 0000  120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4 713,6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4 851,4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1 11 05024 04 0000 120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4 713,6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4 851,4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1 11 05030 00 0000 120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118,6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118,6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1 11 05034 04 0000 120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118,6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118,6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1 11 05070 00 0000 120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43 222,1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43 222,1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lastRenderedPageBreak/>
              <w:t>1 11 05074 04 0000 120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43 222,1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43 222,1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1 11 05300 00 0000 120</w:t>
            </w:r>
          </w:p>
        </w:tc>
        <w:tc>
          <w:tcPr>
            <w:tcW w:w="3969" w:type="dxa"/>
            <w:vMerge w:val="restart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1 11 05320 00 0000 120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1 11 05324 04 0000 120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2,6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1 11 09040 00 0000 120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44,0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44,0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1 11 09044 04 0000 120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44,0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44,0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1 12 00000 00 0000 000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499,7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519,7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1 12 01000 01 0000 120</w:t>
            </w:r>
          </w:p>
        </w:tc>
        <w:tc>
          <w:tcPr>
            <w:tcW w:w="3969" w:type="dxa"/>
            <w:hideMark/>
          </w:tcPr>
          <w:p>
            <w:r>
              <w:t>Плата за негативное воздействие на окружающую среду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499,7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519,7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1 12 01010 01 6000 120</w:t>
            </w:r>
          </w:p>
        </w:tc>
        <w:tc>
          <w:tcPr>
            <w:tcW w:w="3969" w:type="dxa"/>
            <w:hideMark/>
          </w:tcPr>
          <w:p>
            <w: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31,2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32,4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 w:val="restart"/>
            <w:hideMark/>
          </w:tcPr>
          <w:p>
            <w:r>
              <w:t>1 12 01030 01 6000 120</w:t>
            </w:r>
          </w:p>
        </w:tc>
        <w:tc>
          <w:tcPr>
            <w:tcW w:w="3969" w:type="dxa"/>
            <w:vMerge w:val="restart"/>
            <w:hideMark/>
          </w:tcPr>
          <w:p>
            <w: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vMerge w:val="restart"/>
            <w:vAlign w:val="center"/>
            <w:hideMark/>
          </w:tcPr>
          <w:p>
            <w:pPr>
              <w:jc w:val="center"/>
            </w:pPr>
            <w:r>
              <w:t>43,6</w:t>
            </w:r>
          </w:p>
        </w:tc>
        <w:tc>
          <w:tcPr>
            <w:tcW w:w="1418" w:type="dxa"/>
            <w:vMerge w:val="restart"/>
            <w:vAlign w:val="center"/>
            <w:hideMark/>
          </w:tcPr>
          <w:p>
            <w:pPr>
              <w:jc w:val="center"/>
            </w:pPr>
            <w:r>
              <w:t>45,4</w:t>
            </w: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30"/>
          <w:jc w:val="center"/>
        </w:trPr>
        <w:tc>
          <w:tcPr>
            <w:tcW w:w="2689" w:type="dxa"/>
            <w:vMerge/>
            <w:hideMark/>
          </w:tcPr>
          <w:p/>
        </w:tc>
        <w:tc>
          <w:tcPr>
            <w:tcW w:w="3969" w:type="dxa"/>
            <w:vMerge/>
            <w:hideMark/>
          </w:tcPr>
          <w:p/>
        </w:tc>
        <w:tc>
          <w:tcPr>
            <w:tcW w:w="1417" w:type="dxa"/>
            <w:vMerge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Merge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1 12 01040 01 0000 120</w:t>
            </w:r>
          </w:p>
        </w:tc>
        <w:tc>
          <w:tcPr>
            <w:tcW w:w="3969" w:type="dxa"/>
            <w:hideMark/>
          </w:tcPr>
          <w:p>
            <w:r>
              <w:t>Плата за размещение отходов производства и потребления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424,9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441,9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1 12 01041 01 6000 120</w:t>
            </w:r>
          </w:p>
        </w:tc>
        <w:tc>
          <w:tcPr>
            <w:tcW w:w="3969" w:type="dxa"/>
            <w:hideMark/>
          </w:tcPr>
          <w:p>
            <w: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395,6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411,4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lastRenderedPageBreak/>
              <w:t>1 12 01042 01 6000 120</w:t>
            </w:r>
          </w:p>
        </w:tc>
        <w:tc>
          <w:tcPr>
            <w:tcW w:w="3969" w:type="dxa"/>
            <w:hideMark/>
          </w:tcPr>
          <w:p>
            <w: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29,3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30,5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432,3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432,3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1 13 02000 00 0000 130</w:t>
            </w:r>
          </w:p>
        </w:tc>
        <w:tc>
          <w:tcPr>
            <w:tcW w:w="3969" w:type="dxa"/>
            <w:hideMark/>
          </w:tcPr>
          <w:p>
            <w:r>
              <w:t>Доходы от компенсации затрат государства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432,3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432,3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1 13 02990 00 0000 130</w:t>
            </w:r>
          </w:p>
        </w:tc>
        <w:tc>
          <w:tcPr>
            <w:tcW w:w="3969" w:type="dxa"/>
            <w:hideMark/>
          </w:tcPr>
          <w:p>
            <w:r>
              <w:t>Прочие доходы от компенсации затрат государства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432,3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432,3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1 13 02994 04 0000 130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432,3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432,3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1 14 00000 00 0000 000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5 353,0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5 339,6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1 14 06000 00 0000 430</w:t>
            </w:r>
          </w:p>
        </w:tc>
        <w:tc>
          <w:tcPr>
            <w:tcW w:w="3969" w:type="dxa"/>
            <w:hideMark/>
          </w:tcPr>
          <w:p>
            <w:r>
              <w:t>Доходы от продажи земельных участков, находящихся в государственной и муниципальной собственности</w:t>
            </w:r>
          </w:p>
          <w:p/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1 352,8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1 339,4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1 14 06010 00 0000 430</w:t>
            </w:r>
          </w:p>
        </w:tc>
        <w:tc>
          <w:tcPr>
            <w:tcW w:w="3969" w:type="dxa"/>
            <w:hideMark/>
          </w:tcPr>
          <w:p>
            <w:r>
              <w:t>Доходы от продажи земельных участков, государственная собственность на которые не разграничена</w:t>
            </w:r>
          </w:p>
          <w:p/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846,3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879,4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1 14 06012 04 0000 430</w:t>
            </w:r>
          </w:p>
        </w:tc>
        <w:tc>
          <w:tcPr>
            <w:tcW w:w="3969" w:type="dxa"/>
            <w:hideMark/>
          </w:tcPr>
          <w:p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846,3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879,4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1 14 06020 00 0000 430</w:t>
            </w:r>
          </w:p>
        </w:tc>
        <w:tc>
          <w:tcPr>
            <w:tcW w:w="3969" w:type="dxa"/>
            <w:hideMark/>
          </w:tcPr>
          <w:p>
            <w: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506,5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460,0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1 14 06024 04 0000 430</w:t>
            </w:r>
          </w:p>
        </w:tc>
        <w:tc>
          <w:tcPr>
            <w:tcW w:w="3969" w:type="dxa"/>
            <w:hideMark/>
          </w:tcPr>
          <w:p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506,5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460,0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1 14 13000 00 0000 000</w:t>
            </w:r>
          </w:p>
        </w:tc>
        <w:tc>
          <w:tcPr>
            <w:tcW w:w="3969" w:type="dxa"/>
            <w:hideMark/>
          </w:tcPr>
          <w:p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4 000,2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4 000,2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1 14 13040 04 0000 410</w:t>
            </w:r>
          </w:p>
        </w:tc>
        <w:tc>
          <w:tcPr>
            <w:tcW w:w="3969" w:type="dxa"/>
            <w:hideMark/>
          </w:tcPr>
          <w:p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4 000,2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4 000,2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1 16 00000 00 0000 000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960,5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960,8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1 16 01000 01 0000 140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936,5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936,5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1 16 01050 01 0000 140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79,3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79,3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1 16 01053 01 0000 140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</w:t>
            </w:r>
            <w:r>
              <w:rPr>
                <w:color w:val="000000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lastRenderedPageBreak/>
              <w:t>79,3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79,3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lastRenderedPageBreak/>
              <w:t>1 16 01060 01 0000 140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198,6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198,6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1 16 01063 01 0000 140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198,6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198,6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1 16 01070 01 0000 140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24,7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24,7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1 16 01073 01 0000 140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24,7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24,7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1 16 01080 01 0000 140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1 16 01083 01 0000 140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1 16 01090 01 0000 140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1 16 01093 01 0000 140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lastRenderedPageBreak/>
              <w:t>1 16 01100 01 0000 140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  <w:p/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6,0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6,0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1 16 01103 01 0000 140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6,0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6,0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1 16 01110 01 0000 140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1 16 01113 01 0000 140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1 16 01130 01 0000 140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1 16 01133 01 0000 140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5,0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1 16 01140 01 0000 140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25,0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25,0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1 16 01143 01 0000 140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25,0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25,0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1 16 01150 01 0000 140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15 Кодекса Российской Федерации об административных правонаруше</w:t>
            </w:r>
            <w:r>
              <w:lastRenderedPageBreak/>
              <w:t>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lastRenderedPageBreak/>
              <w:t>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lastRenderedPageBreak/>
              <w:t>1 16 01153 01 0000 140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4,0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1 16 01160 01 0000 140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1 16 01163 01 0000 140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1 16 01170 01 0000 140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34,0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1 16 01173 01 0000 140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34,0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1 16 01183 01 0000 140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1 16 01190 01 0000 140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lastRenderedPageBreak/>
              <w:t>1 16 01193 01 0000 140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170,0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170,0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1 16 01200 01 0000 140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170,0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170,0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1 16 01203 01 0000 140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303,9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303,9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1 16 01210 01 0000 140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1 16 01213 01 0000 140</w:t>
            </w:r>
          </w:p>
        </w:tc>
        <w:tc>
          <w:tcPr>
            <w:tcW w:w="3969" w:type="dxa"/>
            <w:hideMark/>
          </w:tcPr>
          <w:p>
            <w: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3,0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3,0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1 16 10000 00 0000 140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1 16 10100 00 0000 140</w:t>
            </w:r>
          </w:p>
        </w:tc>
        <w:tc>
          <w:tcPr>
            <w:tcW w:w="3969" w:type="dxa"/>
            <w:hideMark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1 16 10100 04 0000 140</w:t>
            </w:r>
          </w:p>
        </w:tc>
        <w:tc>
          <w:tcPr>
            <w:tcW w:w="3969" w:type="dxa"/>
            <w:hideMark/>
          </w:tcPr>
          <w:p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1 16 10120 00 0000 140</w:t>
            </w:r>
          </w:p>
        </w:tc>
        <w:tc>
          <w:tcPr>
            <w:tcW w:w="3969" w:type="dxa"/>
            <w:hideMark/>
          </w:tcPr>
          <w:p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</w:tcPr>
          <w:p>
            <w:r>
              <w:t>1 16 10123 01 0000 140</w:t>
            </w:r>
          </w:p>
        </w:tc>
        <w:tc>
          <w:tcPr>
            <w:tcW w:w="3969" w:type="dxa"/>
          </w:tcPr>
          <w:p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24,0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t>24,3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2 00 00000 00 0000 000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БЕЗВОЗМЕЗДНЫЕ ПОСТУПЛЕНИЯ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996 546</w:t>
            </w:r>
            <w:r>
              <w:rPr>
                <w:b/>
              </w:rPr>
              <w:t>,8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994 193,0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2 02 00000 00 0000 000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996 546</w:t>
            </w:r>
            <w:r>
              <w:rPr>
                <w:b/>
              </w:rPr>
              <w:t>,8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994 193,0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lastRenderedPageBreak/>
              <w:t>2 02 20000 00 0000 150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227 971,1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177 527,6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2 02 20077 00 0000 150</w:t>
            </w:r>
          </w:p>
        </w:tc>
        <w:tc>
          <w:tcPr>
            <w:tcW w:w="3969" w:type="dxa"/>
            <w:hideMark/>
          </w:tcPr>
          <w:p>
            <w:r>
              <w:t xml:space="preserve">Субсидии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50 000,0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2 02 20077 04 0000 150</w:t>
            </w:r>
          </w:p>
        </w:tc>
        <w:tc>
          <w:tcPr>
            <w:tcW w:w="3969" w:type="dxa"/>
            <w:hideMark/>
          </w:tcPr>
          <w:p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50 000,0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0,0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</w:tcPr>
          <w:p>
            <w:r>
              <w:t>2 02 25179 00 0000 150</w:t>
            </w:r>
          </w:p>
        </w:tc>
        <w:tc>
          <w:tcPr>
            <w:tcW w:w="3969" w:type="dxa"/>
          </w:tcPr>
          <w:p>
            <w:pPr>
              <w:autoSpaceDE w:val="0"/>
              <w:autoSpaceDN w:val="0"/>
              <w:adjustRightInd w:val="0"/>
            </w:pPr>
            <w: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1 861,2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t>1 861,2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2 02 25179 04 0000 150</w:t>
            </w:r>
          </w:p>
        </w:tc>
        <w:tc>
          <w:tcPr>
            <w:tcW w:w="3969" w:type="dxa"/>
            <w:hideMark/>
          </w:tcPr>
          <w:p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1 861,2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1 861,2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2 02 25304 00 0000 150</w:t>
            </w:r>
          </w:p>
        </w:tc>
        <w:tc>
          <w:tcPr>
            <w:tcW w:w="3969" w:type="dxa"/>
            <w:hideMark/>
          </w:tcPr>
          <w:p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24 499,2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24 499,2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2 02 25304 04 0000 150</w:t>
            </w:r>
          </w:p>
        </w:tc>
        <w:tc>
          <w:tcPr>
            <w:tcW w:w="3969" w:type="dxa"/>
            <w:hideMark/>
          </w:tcPr>
          <w:p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24 499,2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24 499,2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2 02 25497 00 0000 150</w:t>
            </w:r>
          </w:p>
        </w:tc>
        <w:tc>
          <w:tcPr>
            <w:tcW w:w="3969" w:type="dxa"/>
            <w:hideMark/>
          </w:tcPr>
          <w:p>
            <w: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13 989,1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13 545,6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2 02 25497 04 0000 150</w:t>
            </w:r>
          </w:p>
        </w:tc>
        <w:tc>
          <w:tcPr>
            <w:tcW w:w="3969" w:type="dxa"/>
            <w:hideMark/>
          </w:tcPr>
          <w:p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13 989,1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13 545,6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2 02 29999 00 0000 150</w:t>
            </w:r>
          </w:p>
        </w:tc>
        <w:tc>
          <w:tcPr>
            <w:tcW w:w="3969" w:type="dxa"/>
            <w:hideMark/>
          </w:tcPr>
          <w:p>
            <w:r>
              <w:t>Прочие субсидии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137 621,6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137 621,6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2 02 29999 04 0000 150</w:t>
            </w:r>
          </w:p>
        </w:tc>
        <w:tc>
          <w:tcPr>
            <w:tcW w:w="3969" w:type="dxa"/>
            <w:hideMark/>
          </w:tcPr>
          <w:p>
            <w:r>
              <w:t>Прочие субсидии бюджетам городских округов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137 621,6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137 621,6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2 02 30000 00 0000 150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747 </w:t>
            </w:r>
            <w:r>
              <w:rPr>
                <w:b/>
                <w:lang w:val="en-US"/>
              </w:rPr>
              <w:t>617</w:t>
            </w:r>
            <w:r>
              <w:rPr>
                <w:b/>
              </w:rPr>
              <w:t>,2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795 740,4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2 02 35120 00 0000 150</w:t>
            </w:r>
          </w:p>
        </w:tc>
        <w:tc>
          <w:tcPr>
            <w:tcW w:w="3969" w:type="dxa"/>
            <w:hideMark/>
          </w:tcPr>
          <w:p>
            <w: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10,1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226,5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2 02 35120 04 0000 150</w:t>
            </w:r>
          </w:p>
        </w:tc>
        <w:tc>
          <w:tcPr>
            <w:tcW w:w="3969" w:type="dxa"/>
            <w:hideMark/>
          </w:tcPr>
          <w:p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10,1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226,5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2 02 35082 00 0000 150</w:t>
            </w:r>
          </w:p>
        </w:tc>
        <w:tc>
          <w:tcPr>
            <w:tcW w:w="3969" w:type="dxa"/>
            <w:hideMark/>
          </w:tcPr>
          <w:p>
            <w: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5 576,4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6 510,3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2 02 35082 04 0000 150</w:t>
            </w:r>
          </w:p>
        </w:tc>
        <w:tc>
          <w:tcPr>
            <w:tcW w:w="3969" w:type="dxa"/>
            <w:hideMark/>
          </w:tcPr>
          <w:p>
            <w:r>
              <w:t>Субвенции бюджетам городских округов на предоставление жилых помещений детям-</w:t>
            </w:r>
            <w: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lastRenderedPageBreak/>
              <w:t>5 576,4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6 510,3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lastRenderedPageBreak/>
              <w:t>2 02 30029 00 0000 150</w:t>
            </w:r>
          </w:p>
        </w:tc>
        <w:tc>
          <w:tcPr>
            <w:tcW w:w="3969" w:type="dxa"/>
            <w:hideMark/>
          </w:tcPr>
          <w:p>
            <w: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298,5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298,5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2 02 30029 04 0000 150</w:t>
            </w:r>
          </w:p>
        </w:tc>
        <w:tc>
          <w:tcPr>
            <w:tcW w:w="3969" w:type="dxa"/>
            <w:hideMark/>
          </w:tcPr>
          <w:p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298,5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298,5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2 02 35930 00 0000 150</w:t>
            </w:r>
          </w:p>
        </w:tc>
        <w:tc>
          <w:tcPr>
            <w:tcW w:w="3969" w:type="dxa"/>
            <w:hideMark/>
          </w:tcPr>
          <w:p>
            <w:pPr>
              <w:autoSpaceDE w:val="0"/>
              <w:autoSpaceDN w:val="0"/>
              <w:adjustRightInd w:val="0"/>
            </w:pPr>
            <w: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1 944,6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2 023,2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2 02 35930 04 0000 150</w:t>
            </w:r>
          </w:p>
        </w:tc>
        <w:tc>
          <w:tcPr>
            <w:tcW w:w="3969" w:type="dxa"/>
            <w:hideMark/>
          </w:tcPr>
          <w:p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1 944,6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2 023,2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2 02 39999 00 0000 150</w:t>
            </w:r>
          </w:p>
        </w:tc>
        <w:tc>
          <w:tcPr>
            <w:tcW w:w="3969" w:type="dxa"/>
            <w:hideMark/>
          </w:tcPr>
          <w:p>
            <w:r>
              <w:t>Прочие субвенции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739 787,6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786 681,9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2 02 39999 04 0000 150</w:t>
            </w:r>
          </w:p>
        </w:tc>
        <w:tc>
          <w:tcPr>
            <w:tcW w:w="3969" w:type="dxa"/>
            <w:hideMark/>
          </w:tcPr>
          <w:p>
            <w:r>
              <w:t>Прочие субвенции бюджетам городских округов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739 787,6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786 681,9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2 02 40000 00 0000 150</w:t>
            </w:r>
          </w:p>
        </w:tc>
        <w:tc>
          <w:tcPr>
            <w:tcW w:w="3969" w:type="dxa"/>
            <w:hideMark/>
          </w:tcPr>
          <w:p>
            <w:pPr>
              <w:rPr>
                <w:b/>
              </w:rPr>
            </w:pPr>
            <w:r>
              <w:rPr>
                <w:b/>
              </w:rPr>
              <w:t>Иные межбюджетные трансферты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20 958,5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20 925,0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2 02 45303 00 0000 150</w:t>
            </w:r>
          </w:p>
        </w:tc>
        <w:tc>
          <w:tcPr>
            <w:tcW w:w="3969" w:type="dxa"/>
            <w:hideMark/>
          </w:tcPr>
          <w:p>
            <w: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20 958,5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20 925,0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2 02 45303 04 0000 150</w:t>
            </w:r>
          </w:p>
        </w:tc>
        <w:tc>
          <w:tcPr>
            <w:tcW w:w="3969" w:type="dxa"/>
            <w:hideMark/>
          </w:tcPr>
          <w:p>
            <w:pPr>
              <w:autoSpaceDE w:val="0"/>
              <w:autoSpaceDN w:val="0"/>
              <w:adjustRightInd w:val="0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  <w:p/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20 958,5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20 925,0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 </w:t>
            </w:r>
          </w:p>
        </w:tc>
        <w:tc>
          <w:tcPr>
            <w:tcW w:w="3969" w:type="dxa"/>
            <w:hideMark/>
          </w:tcPr>
          <w:p>
            <w:r>
              <w:t>ВСЕГО ДОХОДОВ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1 967 828,1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1 964 465,5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Справочно:</w:t>
            </w:r>
          </w:p>
        </w:tc>
        <w:tc>
          <w:tcPr>
            <w:tcW w:w="3969" w:type="dxa"/>
            <w:hideMark/>
          </w:tcPr>
          <w:p>
            <w:r>
              <w:t> 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Собственные доходы бюджета городского округа Анадырь</w:t>
            </w:r>
          </w:p>
        </w:tc>
        <w:tc>
          <w:tcPr>
            <w:tcW w:w="3969" w:type="dxa"/>
            <w:hideMark/>
          </w:tcPr>
          <w:p>
            <w:r>
              <w:t> 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1 220 </w:t>
            </w:r>
            <w:r>
              <w:rPr>
                <w:lang w:val="en-US"/>
              </w:rPr>
              <w:t>210</w:t>
            </w:r>
            <w:r>
              <w:t>,9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1 168 725,1</w:t>
            </w:r>
          </w:p>
        </w:tc>
      </w:tr>
      <w:tr>
        <w:trPr>
          <w:trHeight w:val="20"/>
          <w:jc w:val="center"/>
        </w:trPr>
        <w:tc>
          <w:tcPr>
            <w:tcW w:w="2689" w:type="dxa"/>
            <w:hideMark/>
          </w:tcPr>
          <w:p>
            <w: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3969" w:type="dxa"/>
            <w:hideMark/>
          </w:tcPr>
          <w:p>
            <w:r>
              <w:t> </w:t>
            </w:r>
          </w:p>
        </w:tc>
        <w:tc>
          <w:tcPr>
            <w:tcW w:w="1417" w:type="dxa"/>
            <w:vAlign w:val="center"/>
            <w:hideMark/>
          </w:tcPr>
          <w:p>
            <w:pPr>
              <w:jc w:val="center"/>
            </w:pPr>
            <w:r>
              <w:t>971 281,3</w:t>
            </w:r>
          </w:p>
        </w:tc>
        <w:tc>
          <w:tcPr>
            <w:tcW w:w="1418" w:type="dxa"/>
            <w:vAlign w:val="center"/>
            <w:hideMark/>
          </w:tcPr>
          <w:p>
            <w:pPr>
              <w:jc w:val="center"/>
            </w:pPr>
            <w:r>
              <w:t>970 272,5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3 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ind w:left="3969"/>
        <w:jc w:val="right"/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2024 год и на плановый период 2025 и 2026 годов</w:t>
      </w:r>
    </w:p>
    <w:p>
      <w:pPr>
        <w:ind w:right="-426"/>
        <w:jc w:val="right"/>
        <w:rPr>
          <w:b/>
          <w:bCs/>
          <w:sz w:val="28"/>
          <w:szCs w:val="28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p>
      <w:pPr>
        <w:rPr>
          <w:sz w:val="2"/>
          <w:szCs w:val="2"/>
        </w:rPr>
      </w:pPr>
    </w:p>
    <w:p>
      <w:pPr>
        <w:rPr>
          <w:sz w:val="2"/>
          <w:szCs w:val="2"/>
        </w:rPr>
      </w:pPr>
    </w:p>
    <w:tbl>
      <w:tblPr>
        <w:tblW w:w="10177" w:type="dxa"/>
        <w:tblInd w:w="-289" w:type="dxa"/>
        <w:tblLook w:val="04A0" w:firstRow="1" w:lastRow="0" w:firstColumn="1" w:lastColumn="0" w:noHBand="0" w:noVBand="1"/>
      </w:tblPr>
      <w:tblGrid>
        <w:gridCol w:w="2694"/>
        <w:gridCol w:w="583"/>
        <w:gridCol w:w="449"/>
        <w:gridCol w:w="552"/>
        <w:gridCol w:w="1418"/>
        <w:gridCol w:w="554"/>
        <w:gridCol w:w="1296"/>
        <w:gridCol w:w="1382"/>
        <w:gridCol w:w="1249"/>
      </w:tblGrid>
      <w:tr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ind w:left="-109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ГРБС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Сумма на 2024 год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Сумма на 2025 год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Сумма на 2026 год</w:t>
            </w:r>
          </w:p>
        </w:tc>
      </w:tr>
    </w:tbl>
    <w:p>
      <w:pPr>
        <w:rPr>
          <w:sz w:val="2"/>
          <w:szCs w:val="2"/>
        </w:rPr>
      </w:pPr>
    </w:p>
    <w:tbl>
      <w:tblPr>
        <w:tblW w:w="10207" w:type="dxa"/>
        <w:tblInd w:w="-294" w:type="dxa"/>
        <w:tblLook w:val="04A0" w:firstRow="1" w:lastRow="0" w:firstColumn="1" w:lastColumn="0" w:noHBand="0" w:noVBand="1"/>
      </w:tblPr>
      <w:tblGrid>
        <w:gridCol w:w="2694"/>
        <w:gridCol w:w="567"/>
        <w:gridCol w:w="436"/>
        <w:gridCol w:w="567"/>
        <w:gridCol w:w="1418"/>
        <w:gridCol w:w="567"/>
        <w:gridCol w:w="1320"/>
        <w:gridCol w:w="1373"/>
        <w:gridCol w:w="1265"/>
      </w:tblGrid>
      <w:tr>
        <w:trPr>
          <w:trHeight w:val="315"/>
          <w:tblHeader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ind w:left="22"/>
              <w:jc w:val="center"/>
              <w:rPr>
                <w:bCs/>
                <w:color w:val="000000"/>
                <w:lang w:val="en-US" w:eastAsia="ru-RU"/>
              </w:rPr>
            </w:pPr>
            <w:r>
              <w:rPr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2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6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7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8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ind w:left="22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2 695 969,4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1 893 828,1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1 964 465,5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Условно утвержденные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21 884,9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46 203,5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116 918,9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124 438,5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149 979,7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57 045,8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59 937,5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66 534,9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40 365,9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40 463,9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40 393,9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40 365,9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40 463,9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40 393,9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40 365,9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40 463,9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40 393,9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40 365,9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40 463,9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40 393,9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37 805,9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37 833,9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37 833,9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37 805,9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37 833,9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37 833,9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0110210121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0110210121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0110120020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15 000,0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0110120020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15 000,0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9 679,9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10 473,6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11 141,0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8 032,2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8 632,2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9 132,2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1 600,0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0110110120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0110110120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7 532,2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7 532,2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7 532,2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7 532,2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7 532,2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7 532,2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Инвентаризация, учет и оценка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1 011,0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1 011,0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1 011,0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1 011,0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1 011,0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1 011,0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4 807,0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4 807,0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4 807,0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4 807,0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4 807,0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4 807,0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1 564,2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1 564,2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1 564,2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1 564,2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1 564,2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1 564,2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1 647,7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2 008,8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1 647,7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2 008,8</w:t>
            </w:r>
          </w:p>
        </w:tc>
      </w:tr>
      <w:tr>
        <w:trPr>
          <w:trHeight w:val="18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1 647,7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2 008,8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1 647,7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1 841,4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2 008,8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45 129,0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49 879,0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68 879,0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65 000,0</w:t>
            </w:r>
          </w:p>
        </w:tc>
      </w:tr>
      <w:tr>
        <w:trPr>
          <w:trHeight w:val="18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0310183020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310183020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5 129,0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3 879,0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0120181010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0120181010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2 879,0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субсидии на реализацию бизнес-проектов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0330183040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0330183040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2 279,0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2 279,0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03301S258М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03301S258М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0110200110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Пенсионное обеспечение муниципальных служащих и лиц,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82Д0000000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Доплата к трудовой пенсии муниципальным служащим и лица, замещавших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82Д0000120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82Д0000120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14 565,8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Осуществление расходов на 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0130181060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0130181060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128,3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933 891,5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605 722,5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578 350,9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206 206,4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199 067,5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211 356,4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6 615,8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6 615,8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Глава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6 615,8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6 615,8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6 545,8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87 145,1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85 052,5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84 972,5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87 145,1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85 052,5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84 972,5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87 145,1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85 052,5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84 972,5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80 386,4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80 666,4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80 666,4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80 386,4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80 666,4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80 666,4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1 052,6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1 052,6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1 440,0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1 440,0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8020010121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2 520,0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8020010121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2 520,0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1 680,0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8020043010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149,8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149,8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8020043010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149,8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149,8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149,8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8020043040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1 036,3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1 036,3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1 036,3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8020043040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1 036,3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1 036,3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1 036,3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226,5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226,5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226,5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226,5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226,5</w:t>
            </w:r>
          </w:p>
        </w:tc>
      </w:tr>
      <w:tr>
        <w:trPr>
          <w:trHeight w:val="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left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4 283,0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Выборы Главы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8410000031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2 509,0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8410000031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2 509,0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0,0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0,0 </w:t>
            </w:r>
          </w:p>
        </w:tc>
      </w:tr>
      <w:tr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Выборы Совета депутатов городского округа Анадырь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8410000061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1 774,0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8410000061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1 774,0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108 223,5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107 389,1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119 611,6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0120281055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6 529,4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6 574,4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7 529,4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6 529,4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6 574,4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7 529,4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6 529,4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6 574,4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7 529,4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0420281050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6 029,4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6 029,4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6 029,4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0420281050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6 029,4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6 029,4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6 029,4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0420284010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1 500,0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8 680,6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6 868,3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6 980,0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8 680,6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6 868,3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6 980,0</w:t>
            </w:r>
          </w:p>
        </w:tc>
      </w:tr>
      <w:tr>
        <w:trPr>
          <w:trHeight w:val="18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5 547,1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4 622,2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4 703,8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5 547,1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4 622,2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4 703,8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3 133,5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2 246,1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2 276,2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3 133,5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2 246,1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2 276,2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137,0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92 529,7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93 449,6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104 605,4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92 529,7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93 449,6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104 605,4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8190010110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1 220,0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1 220,0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1 220,0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8190010110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1 220,0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1 220,0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1 220,0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91 309,7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92 229,6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103 385,4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53 207,0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53 207,0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53 207,0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36 146,7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37 066,6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48 222,4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8190063369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1 956,0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1 956,0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1 956,0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330,8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330,8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8290020112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30,8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8290020112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2 689,8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2 785,8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2 864,4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1 848,6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1 944,6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2 023,2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1 848,6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1 944,6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2 023,2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1 848,6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1 944,6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2 023,2</w:t>
            </w:r>
          </w:p>
        </w:tc>
      </w:tr>
      <w:tr>
        <w:trPr>
          <w:trHeight w:val="20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1 848,6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1 944,6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2 023,2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1 848,6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1 944,6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2 023,2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18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0200382030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0200382030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0200282020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0200282020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691,2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271 890,3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200 182,7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196 279,3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3 705,1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3 705,1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3 705,1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3 705,1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0310183021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3 705,1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310183021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14 828,2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3 705,1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257 062,1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185 354,5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192 574,2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257 062,1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185 354,5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192 574,2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257 062,1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185 354,5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192 574,2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120 329,0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120 329,0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127 548,7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Обслуживание улично-дорожной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0520385071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120 329,0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120 329,0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127 548,7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0520385071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120 329,0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120 329,0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127 548,7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Регионального проекта "Региональная и местная дорожная сеть"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136 733,1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65 025,5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65 025,5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региональных проектов в области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64 700,0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64 700,0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64 700,0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64 700,0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64 700,0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64 700,0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региональных проектов в области дорожного хозяйства в порядке софинансирования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325,5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325,5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325,5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325,5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325,5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325,5</w:t>
            </w:r>
          </w:p>
        </w:tc>
      </w:tr>
      <w:tr>
        <w:trPr>
          <w:trHeight w:val="96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052R153942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71 707,6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052R153942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71 707,6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285 646,3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183 349,5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146 998,0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20 301,0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98 692,8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48 441,3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20 101,0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98 492,8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48 241,3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20 101,0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48 241,3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48 241,3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20 101,0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48 241,3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48 241,3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48 000,0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04401S2370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48 000,0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04401S237М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241,3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04401S237М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241,3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241,3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50 251,5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50 251,5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62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04501S240М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04501S240М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251,5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4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0450142400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0450142400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0510285022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0510285022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188 675,8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73 187,1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87 087,1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116 287,1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73 187,1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87 087,1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116 287,1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73 187,1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87 087,1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86 287,1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40 287,1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52 587,1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0520166369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39 747,1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39 747,1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39 747,1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0520166369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39 747,1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39 747,1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39 747,1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0520185080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12 300,0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0520185080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12 300,0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32 900,0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34 500,0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0520485061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25 500,0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0520485061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25 500,0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0520485062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0520485062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9 000,0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72 388,7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72 388,7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090F25424F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51 877,5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090F25424F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51 877,5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20 511,2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20 511,2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76 669,5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76 669,5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76 669,5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Предоставление субсидий в целях возмещение затрат в связи с оказанием ритуальных услуг по погребению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0510185020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0510185020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11 469,6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"Модернизация систем коммунальной инфраструктуры городского округа Анадырь"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65 199,9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Модернизацию систем коммунальной инфраструктуры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0510667395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64 873,9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0510667395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64 873,9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0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Модернизацию систем коммунальной инфраструктуры в порядке софинансирования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051066739М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051066739М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126 690,8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126 690,8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"Охрана окружающей среды в городском округе Анадырь на 2015-2026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126 690,8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126 690,8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"Ликвидация объектов накопленного вреда"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126 690,8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5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Ликвидация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08201L4700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126 690,8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08201L4700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126 690,8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40 617,9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20 187,0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20 702,8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8290020289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8290020289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40 167,9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19 707,0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20 192,8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40 167,9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19 707,0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20 192,8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13 682,5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13 682,5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04103L4970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13 682,5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04103L4970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14 130,6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13 682,5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26 037,3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5 576,4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6 510,3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26 037,3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5 576,4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6 510,3</w:t>
            </w:r>
          </w:p>
        </w:tc>
      </w:tr>
      <w:tr>
        <w:trPr>
          <w:trHeight w:val="20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04201R082Д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8 849,6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04201R082Д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8 849,6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20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04201А082Д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17 187,7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5 576,4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6 510,3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04201А082Д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17 187,7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5 576,4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6 510,3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1 629 343,0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1 125 929,2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1 174 108,4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29 057,9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28 957,2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29 275,6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8290043020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8290043020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3 784,4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25 273,5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25 172,8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25 491,2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25 181,7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25 072,8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25 381,2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25 181,7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25 072,8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25 381,2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25 181,7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25 072,8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25 381,2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0740610110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0740610110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0740665369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24 741,7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24 632,8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24 941,2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0740665369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21 973,6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21 973,6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21 973,6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0740665369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2 768,1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2 659,2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2 967,6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110,0</w:t>
            </w:r>
          </w:p>
        </w:tc>
      </w:tr>
      <w:tr>
        <w:trPr>
          <w:trHeight w:val="18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1000180333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1 515 763,8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1 013 782,6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1 061 683,4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583 765,0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383 472,6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430 656,9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583 765,0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383 472,6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430 656,9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583 765,0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383 472,6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430 656,9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583 765,0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383 472,6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430 656,9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12 580,0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11 950,0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11 950,0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12 580,0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11 950,0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11 950,0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07101М9901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85 437,3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83 607,5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83 897,5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07101М9901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85 437,3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83 607,5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83 897,5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07101С9901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485 747,7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287 915,1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334 809,4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07101С9901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485 747,7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287 915,1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334 809,4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bookmarkStart w:id="0" w:name="RANGE!A378:I395"/>
            <w:r>
              <w:rPr>
                <w:color w:val="000000"/>
                <w:lang w:eastAsia="ru-RU"/>
              </w:rPr>
              <w:t>Общее образование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619 192,2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445 838,6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445 805,1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619 192,2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445 838,6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445 805,1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619 192,2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445 838,6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445 805,1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619 192,2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445 838,6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445 805,1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10 970,0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10 970,0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10 970,0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10 970,0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10 970,0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10 970,0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20 936,2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20 958,5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20 925,0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20 936,2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20 958,5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20 925,0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07201L304Д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24 623,2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24 623,2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24 623,2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07201L304Д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24 623,2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24 623,2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24 623,2</w:t>
            </w:r>
          </w:p>
        </w:tc>
      </w:tr>
      <w:tr>
        <w:trPr>
          <w:trHeight w:val="21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072014242Д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1 572,5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1 572,5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1 572,5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072014242Д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1 572,5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1 572,5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1 572,5</w:t>
            </w:r>
          </w:p>
        </w:tc>
      </w:tr>
      <w:tr>
        <w:trPr>
          <w:trHeight w:val="18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в порядке софинансирования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072014242М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072014242М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07201М9902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60 890,5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60 890,5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60 890,5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07201М9902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60 890,5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60 890,5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60 890,5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07201С9902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500 191,8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326 815,9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326 815,9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07201С9902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500 191,8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326 815,9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326 815,9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189 305,7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155 507,3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156 257,3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189 305,7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155 507,3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156 257,3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189 305,7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155 507,3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156 257,3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189 305,7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155 507,3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156 257,3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3 190,0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2 520,0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3 180,0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3 190,0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2 520,0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3 180,0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07301М9904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32 762,2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32 901,2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32 991,2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07301М9904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32 762,2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32 901,2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32 991,2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07301С9904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153 353,5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120 086,1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120 086,1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07301С9904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153 353,5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120 086,1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120 086,1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13 234,2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11 528,2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11 528,2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11 528,2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07501S2150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3 665,8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3 665,8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3 665,8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07501S2150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3 665,8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3 665,8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3 665,8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07501S215Д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7 862,4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7 862,4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7 862,4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07501S215Д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7 862,4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7 862,4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7 862,4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0750287070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0750287070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1 706,0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110 216,7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15 729,9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15 729,9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110 216,7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15 729,9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15 729,9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</w:tr>
      <w:tr>
        <w:trPr>
          <w:trHeight w:val="20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072EВ5179Д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072EВ5179Д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1 871,2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108 345,5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13 858,7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13 858,7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56 158,0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5 680,0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5 680,0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51 525,0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1 300,0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51 525,0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1 300,0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07401S232М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07401S232М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4 000,0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4 000,0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4 000,0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Выплаты специалистам муниципальных образовательных организаций денежной компенсации за наем (поднаем) жилых помещений за </w:t>
            </w:r>
            <w:r>
              <w:rPr>
                <w:color w:val="000000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07401S263М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07401S263М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педагогической конференции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2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1 085,0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1 085,0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1 085,0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0740387033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585,0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0740387033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0740387033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0740387033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275,0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275,0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275,0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0740387034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0740387034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15 550,0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02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Выполнение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07405S227Д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07405S227М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07405S227М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34 999,5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6 590,7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6 590,7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07407S255Д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34 824,4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6 557,7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6 557,7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07407S255Д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34 824,4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6 557,7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6 557,7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07407S255М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175,1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07407S255М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175,1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07408S213Д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07408S213Д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07408S213М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07408S213М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59 980,9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59 980,9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59 980,9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59 980,9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58 609,0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58 980,9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57 809,0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57 809,0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0610110110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06101М9908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58 000,9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56 829,0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56 829,0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06101М9908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58 000,9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56 829,0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56 829,0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0610286010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0610286010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19 667,3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19 707,3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19 667,3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071014309Д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071014309Д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298,5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19 368,8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19 408,8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19 368,8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19 368,8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19 408,8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19 368,8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18 918,8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18 958,8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18 918,8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18 918,8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18 958,8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18 918,8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17 718,8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17 718,8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17 718,8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17 718,8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17 718,8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17 718,8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360,0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0610310121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0610310121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"Активное долголетие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450,0</w:t>
            </w:r>
          </w:p>
        </w:tc>
      </w:tr>
      <w:tr>
        <w:trPr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0630286078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0630286078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0630386079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0630386079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0630386080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0630386080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200,0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Подпрограмма "Развитие физической культуры и спорта в городском округе Анадырь на 2020-2026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4 873,1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4 370,1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4 370,1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4 370,1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0620186020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1 660,0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1 660,0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1 660,0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0620186020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1 660,0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1 660,0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1 660,0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0620186030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2 710,1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2 710,1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0620186030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2 710,1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2 710,1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2 710,1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062P542390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062P542390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503,0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7 409,6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7 399,6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7 399,6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7 409,6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7 399,6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7 399,6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7 409,6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7 399,6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7 399,6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7 409,6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7 399,6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7 399,6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Депутаты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4 346,3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8310000060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8310000060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4 276,3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3 133,3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3 053,3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3 123,3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8320000110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3 063,3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3 053,3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3 053,3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8320000110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2 088,9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2 088,9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2 088,9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8320000110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974,4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964,4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964,4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8 406,4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8 453,4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8 423,4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8 453,4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</w:tr>
      <w:tr>
        <w:trPr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8 453,4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8 453,4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8 453,4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8 373,4</w:t>
            </w:r>
          </w:p>
        </w:tc>
      </w:tr>
      <w:tr>
        <w:trPr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1 777,8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1 777,8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1 777,8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1 758,8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1 758,8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1 758,8</w:t>
            </w:r>
          </w:p>
        </w:tc>
      </w:tr>
      <w:tr>
        <w:trPr>
          <w:trHeight w:val="31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19,0</w:t>
            </w:r>
          </w:p>
        </w:tc>
      </w:tr>
      <w:tr>
        <w:trPr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Обеспечение деятельности Председателя Контрольно-счетной палаты городского </w:t>
            </w:r>
            <w:r>
              <w:rPr>
                <w:color w:val="000000"/>
                <w:lang w:eastAsia="ru-RU"/>
              </w:rPr>
              <w:lastRenderedPageBreak/>
              <w:t>округа Анадырь и его заместителя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6 595,6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6 675,6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6 595,6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6 525,6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6 525,6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6 525,6</w:t>
            </w:r>
          </w:p>
        </w:tc>
      </w:tr>
      <w:tr>
        <w:trPr>
          <w:trHeight w:val="23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</w:tr>
      <w:tr>
        <w:trPr>
          <w:trHeight w:val="154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70,0</w:t>
            </w:r>
          </w:p>
        </w:tc>
      </w:tr>
      <w:tr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</w:tr>
      <w:tr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</w:tr>
      <w:tr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</w:tr>
      <w:tr>
        <w:trPr>
          <w:trHeight w:val="7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8510000125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</w:tr>
    </w:tbl>
    <w:p>
      <w:pPr>
        <w:jc w:val="left"/>
      </w:pPr>
    </w:p>
    <w:p>
      <w:pPr>
        <w:jc w:val="center"/>
        <w:sect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lastRenderedPageBreak/>
        <w:t>Приложение</w:t>
      </w:r>
      <w:r>
        <w:rPr>
          <w:rFonts w:ascii="Times New Roman" w:hAnsi="Times New Roman"/>
          <w:b w:val="0"/>
          <w:szCs w:val="28"/>
          <w:u w:val="none"/>
          <w:lang w:val="en-US"/>
        </w:rPr>
        <w:t xml:space="preserve"> 4</w:t>
      </w:r>
      <w:r>
        <w:rPr>
          <w:rFonts w:ascii="Times New Roman" w:hAnsi="Times New Roman"/>
          <w:b w:val="0"/>
          <w:szCs w:val="28"/>
          <w:u w:val="none"/>
        </w:rPr>
        <w:t xml:space="preserve"> </w:t>
      </w:r>
    </w:p>
    <w:p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tabs>
          <w:tab w:val="left" w:pos="284"/>
        </w:tabs>
        <w:rPr>
          <w:sz w:val="28"/>
          <w:szCs w:val="28"/>
        </w:rPr>
      </w:pPr>
    </w:p>
    <w:p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2024 год</w:t>
      </w:r>
    </w:p>
    <w:p>
      <w:pPr>
        <w:tabs>
          <w:tab w:val="left" w:pos="284"/>
        </w:tabs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>
      <w:pPr>
        <w:jc w:val="center"/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516"/>
        <w:gridCol w:w="1527"/>
        <w:gridCol w:w="709"/>
        <w:gridCol w:w="770"/>
        <w:gridCol w:w="1388"/>
        <w:gridCol w:w="1202"/>
        <w:gridCol w:w="1491"/>
        <w:gridCol w:w="1418"/>
      </w:tblGrid>
      <w:tr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rPr>
          <w:sz w:val="2"/>
          <w:szCs w:val="2"/>
        </w:rPr>
      </w:pPr>
    </w:p>
    <w:tbl>
      <w:tblPr>
        <w:tblW w:w="15016" w:type="dxa"/>
        <w:tblLook w:val="04A0" w:firstRow="1" w:lastRow="0" w:firstColumn="1" w:lastColumn="0" w:noHBand="0" w:noVBand="1"/>
      </w:tblPr>
      <w:tblGrid>
        <w:gridCol w:w="6511"/>
        <w:gridCol w:w="1527"/>
        <w:gridCol w:w="706"/>
        <w:gridCol w:w="766"/>
        <w:gridCol w:w="1395"/>
        <w:gridCol w:w="1228"/>
        <w:gridCol w:w="1465"/>
        <w:gridCol w:w="1418"/>
      </w:tblGrid>
      <w:tr>
        <w:trPr>
          <w:trHeight w:val="330"/>
          <w:tblHeader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</w:t>
            </w:r>
          </w:p>
        </w:tc>
      </w:tr>
      <w:tr>
        <w:trPr>
          <w:trHeight w:val="33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2 695 969,4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924 905,5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1 466 397,6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304 666,3</w:t>
            </w:r>
          </w:p>
        </w:tc>
      </w:tr>
      <w:tr>
        <w:trPr>
          <w:trHeight w:val="33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х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х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х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х </w:t>
            </w:r>
          </w:p>
        </w:tc>
      </w:tr>
      <w:tr>
        <w:trPr>
          <w:trHeight w:val="64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2 468 374,2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704 138,4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1 461 427,1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302 808,7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57 842,4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57 842,4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47 915,9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47 915,9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40 415,9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40 415,9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37 805,9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37 805,9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0110210121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9 798,2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9 798,2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"Обслуживание муниципального долга"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128,3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57 707,2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55 428,2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54 828,2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66 798,3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6 771,9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39 786,4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20 240,0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14 130,6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11 832,9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14 130,6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11 832,9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14 130,6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11 832,9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"Доступное и комфортное жильё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32 566,7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6 529,4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17 630,2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8 407,1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26 037,3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17 630,2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8 407,1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8 849,6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8 407,1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04201А082Д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17 187,7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17 187,7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6 529,4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6 529,4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20 101,0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20 101,0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450 218,7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249 296,2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131 000,9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69 921,6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76 869,5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11 995,6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64 873,9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субсидий в целях возмещение затрат в связи с оказанием ритуальных услуг по погребению согласно гарантированному перечню услуг по погребению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"Модернизация систем коммунальной инфраструктуры городского округа Анадырь"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0510600000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65 199,9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64 873,9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Модернизацию систем коммунальной инфраструктуры (Иные бюджетные ассигнования)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0510667395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64 873,9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64 873,9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Модернизацию систем коммунальной инфраструктуры в порядке софинансирования за счет средств местного бюджета (Иные бюджетные ассигнования)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0510667395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373 349,2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237 300,6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66 127,0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69 921,6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86 287,1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86 287,1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39 747,1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39 747,1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46 000,0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Регионального проекта "Региональная и местная дорожная сеть"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136 733,1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684,5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66 127,0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69 921,6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в порядке софинансирования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71 707,6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1 427,0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69 921,6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84 272,8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83 772,8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78 949,7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78 949,7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58 980,9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58 980,9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0610110110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58 000,9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58 000,9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18 968,8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18 968,8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17 718,8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17 718,8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0610310110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4 873,1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4 373,1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1 541 194,0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238 171,6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1 280 129,2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22 893,2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584 063,5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98 017,3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486 046,2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584 063,5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98 017,3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486 046,2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12 580,0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12 580,0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85 437,3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85 437,3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485 747,7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485 747,7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621 063,4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72 002,5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526 167,7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22 893,2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621 063,4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72 002,5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526 167,7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22 893,2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0720153031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20 936,2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20 936,2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24 623,2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3 429,9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21 069,3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072014242Д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в порядке софинансирования(Предоставление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072014242М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500 191,8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500 191,8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1 823,9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072EВ5179Д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1 823,9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189 305,7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35 952,2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189 305,7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35 952,2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3 190,0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3 190,0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32 762,2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32 762,2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153 353,5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133 527,2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26 827,8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106 699,4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56 158,0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283,0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55 875,0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51 525,0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51 525,0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Выплаты специалистам муниципальных образовательных организаций денежной компенсации за наем (поднаем) жилых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07401S263М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0740287030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педагогической конференции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0740287031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15 550,0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Выполнение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07405S227Д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25 181,7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25 181,7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0740665369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2 768,1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2 768,1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34 999,5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175,1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34 824,4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34 824,4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175,1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175,1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07408S213Д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07408S213М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13 234,2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5 371,8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11 528,2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в городском округе Анадырь на 2015-2026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126 690,8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119 753,9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126 690,8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119 753,9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"Ликвидация объектов накопленного вреда"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126 690,8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119 753,9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Ликвидация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08201L4700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126 690,8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6 302,9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119 753,9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72 388,7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1 428,7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72 388,7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1 428,7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Cоздание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090F25424F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51 877,5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857,0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20 511,2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10 420,1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7 286,6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7 286,6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3 133,5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3 133,5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227 595,2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220 767,1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4 970,5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1 857,6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95 826,5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92 791,8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1 848,6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8010000030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89 280,7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86 246,0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1 848,6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80 386,4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80 386,4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1 052,6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1 848,6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1 848,6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92 529,7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92 529,7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92 529,7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92 529,7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36 146,7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36 146,7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19 140,0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15 346,6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19 140,0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15 346,6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Пенсионное обеспечение муниципальных служащих и лиц, замещавших муниципальные должности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Доплата к трудовой пенсии муниципальным служащим и лицам, замещавшим муниципальные должности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7 409,6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7 409,6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3 133,3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3 133,3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974,4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8 406,4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8 406,4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8 406,4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8 406,4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Обеспечение деятельности Председателя Контрольно-счетной палаты городского округа Анадырь и его заместителя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8510000125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6 525,6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6 525,6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8510010121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Выборы Главы городского округа Анадырь (Специальные расходы)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8410000031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2 509,0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2 509,0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Выборы Совета депутатов городского округа Анадырь (Специальные расходы)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8410000061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1 774,0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1 774,0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lastRenderedPageBreak/>
        <w:t>Приложение 5</w:t>
      </w:r>
    </w:p>
    <w:p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2025 год</w:t>
      </w:r>
    </w:p>
    <w:p>
      <w:pPr>
        <w:jc w:val="right"/>
      </w:pPr>
      <w:r>
        <w:rPr>
          <w:sz w:val="28"/>
          <w:szCs w:val="28"/>
        </w:rPr>
        <w:t>(тыс. руб.)</w:t>
      </w:r>
    </w:p>
    <w:p>
      <w:pPr>
        <w:rPr>
          <w:sz w:val="2"/>
          <w:szCs w:val="2"/>
        </w:rPr>
      </w:pPr>
    </w:p>
    <w:p>
      <w:pPr>
        <w:jc w:val="center"/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6460"/>
        <w:gridCol w:w="1527"/>
        <w:gridCol w:w="960"/>
        <w:gridCol w:w="687"/>
        <w:gridCol w:w="1560"/>
        <w:gridCol w:w="1417"/>
        <w:gridCol w:w="1276"/>
        <w:gridCol w:w="1417"/>
      </w:tblGrid>
      <w:tr>
        <w:trPr>
          <w:trHeight w:val="20"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284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rPr>
          <w:sz w:val="2"/>
          <w:szCs w:val="2"/>
        </w:rPr>
      </w:pPr>
    </w:p>
    <w:tbl>
      <w:tblPr>
        <w:tblW w:w="15304" w:type="dxa"/>
        <w:tblLook w:val="04A0" w:firstRow="1" w:lastRow="0" w:firstColumn="1" w:lastColumn="0" w:noHBand="0" w:noVBand="1"/>
      </w:tblPr>
      <w:tblGrid>
        <w:gridCol w:w="6460"/>
        <w:gridCol w:w="1527"/>
        <w:gridCol w:w="960"/>
        <w:gridCol w:w="687"/>
        <w:gridCol w:w="1560"/>
        <w:gridCol w:w="1417"/>
        <w:gridCol w:w="1276"/>
        <w:gridCol w:w="1417"/>
      </w:tblGrid>
      <w:tr>
        <w:trPr>
          <w:trHeight w:val="20"/>
          <w:tblHeader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1 893 828,1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875 396,4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960 356,1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36 190,7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21 884,9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 х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1 649 556,6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659 935,0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955 385,6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34 236,0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60 168,3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60 168,3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50 593,9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50 593,9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40 493,9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40 493,9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37 833,9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37 833,9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0110210121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9 548,2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62 707,2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60 428,2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59 828,2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59 828,2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59 828,2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59 828,2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14 828,2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124 774,2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7 208,7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105 732,6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11 832,9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14 130,6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11 832,9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14 130,6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11 832,9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14 130,6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11 832,9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12 150,8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5 576,4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5 576,4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5 576,4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04201А082Д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5 576,4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5 576,4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"Учет, инвентаризация, распоряжение жилищным фондом"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48 241,3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48 241,3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50 251,5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50 251,5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04501S240М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 (Капитальные вложения в объекты государственной (муниципальной) собственности)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0450142400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270 211,2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205 511,2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11 669,6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11 669,6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субсидий в целях возмещение затрат в связи с оказанием ритуальных услуг по погребению согласно гарантированному перечню услуг по погребению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258 541,6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193 841,6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40 287,1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40 287,1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39 747,1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39 747,1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120 329,0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Регионального проекта "Региональная и местная дорожная сеть"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65 025,5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в порядке софинансирования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82 890,9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82 390,9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77 567,8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77 567,8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57 809,0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57 809,0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56 829,0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56 829,0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18 958,8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18 958,8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17 718,8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17 718,8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0610310121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4 373,1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Проведение массовых физкультурных мероприятий среди различных категорий населения (Предоставление субсидий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062P542390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"Активное долголетие в городском округе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1 039 153,9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234 576,8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782 174,0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22 403,1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383 771,1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95 557,5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288 213,6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383 771,1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95 557,5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288 213,6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0710110110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83 607,5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83 607,5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287 915,1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287 915,1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447 709,8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72 002,5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353 304,2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22 403,1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447 709,8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72 002,5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353 304,2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22 403,1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20 958,5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20 958,5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24 623,2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20 579,2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072014242Д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в порядке софинансирования(Предоставление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072014242М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07201С9902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326 815,9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326 815,9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1 823,9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072EВ5179Д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1 823,9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155 507,3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35 421,2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155 507,3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35 421,2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32 901,2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07301С9904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38 931,5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12 707,7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25 072,8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25 072,8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0740610110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2 659,2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2 659,2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07408S213Д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07408S213М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13 234,2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5 371,8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11 528,2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8 809,7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8 809,7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8 809,7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8 809,7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2 246,1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222 386,6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215 461,4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4 970,5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1 954,7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93 912,9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90 782,2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1 944,6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6 615,8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6 615,8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87 297,1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1 944,6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80 666,4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80 666,4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8020043010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1 944,6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1 944,6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93 449,6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93 449,6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93 449,6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93 449,6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37 066,6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37 066,6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19 171,1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15 376,6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19 171,1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15 376,6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8290043020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Пенсионное обеспечение муниципальных служащих и лиц, замещавших муниципальные должности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Доплата к трудовой пенсии муниципальным служащим и лицам, замещавшим муниципальные должности (Социальное обеспечение и иные выплаты населению)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7 399,6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4 346,3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4 346,3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8310010110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Совета депутатов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3 053,3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3 053,3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8510010110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jc w:val="left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</w:p>
    <w:p>
      <w:pPr>
        <w:rPr>
          <w:lang w:eastAsia="ru-RU"/>
        </w:rPr>
      </w:pPr>
    </w:p>
    <w:p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</w:p>
    <w:p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</w:p>
    <w:p>
      <w:pPr>
        <w:pStyle w:val="4"/>
        <w:tabs>
          <w:tab w:val="left" w:pos="284"/>
        </w:tabs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Приложение 6 </w:t>
      </w:r>
    </w:p>
    <w:p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tabs>
          <w:tab w:val="left" w:pos="28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tabs>
          <w:tab w:val="left" w:pos="28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2026 год</w:t>
      </w:r>
    </w:p>
    <w:p>
      <w:pPr>
        <w:jc w:val="right"/>
      </w:pPr>
      <w:r>
        <w:rPr>
          <w:sz w:val="28"/>
          <w:szCs w:val="28"/>
        </w:rPr>
        <w:t>(тыс. руб.)</w:t>
      </w:r>
    </w:p>
    <w:p>
      <w:pPr>
        <w:rPr>
          <w:sz w:val="2"/>
          <w:szCs w:val="2"/>
        </w:rPr>
      </w:pPr>
    </w:p>
    <w:p>
      <w:pPr>
        <w:jc w:val="center"/>
      </w:pPr>
    </w:p>
    <w:tbl>
      <w:tblPr>
        <w:tblW w:w="15299" w:type="dxa"/>
        <w:tblLook w:val="04A0" w:firstRow="1" w:lastRow="0" w:firstColumn="1" w:lastColumn="0" w:noHBand="0" w:noVBand="1"/>
      </w:tblPr>
      <w:tblGrid>
        <w:gridCol w:w="6511"/>
        <w:gridCol w:w="1559"/>
        <w:gridCol w:w="851"/>
        <w:gridCol w:w="850"/>
        <w:gridCol w:w="1418"/>
        <w:gridCol w:w="1417"/>
        <w:gridCol w:w="1276"/>
        <w:gridCol w:w="1417"/>
      </w:tblGrid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rPr>
          <w:sz w:val="2"/>
          <w:szCs w:val="2"/>
        </w:rPr>
      </w:pPr>
    </w:p>
    <w:tbl>
      <w:tblPr>
        <w:tblW w:w="15299" w:type="dxa"/>
        <w:tblLook w:val="04A0" w:firstRow="1" w:lastRow="0" w:firstColumn="1" w:lastColumn="0" w:noHBand="0" w:noVBand="1"/>
      </w:tblPr>
      <w:tblGrid>
        <w:gridCol w:w="6511"/>
        <w:gridCol w:w="1559"/>
        <w:gridCol w:w="851"/>
        <w:gridCol w:w="850"/>
        <w:gridCol w:w="1418"/>
        <w:gridCol w:w="1417"/>
        <w:gridCol w:w="1276"/>
        <w:gridCol w:w="1417"/>
      </w:tblGrid>
      <w:tr>
        <w:trPr>
          <w:trHeight w:val="20"/>
          <w:tblHeader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1 964 465,5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924 069,0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958 414,6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35 778,4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46 203,5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 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х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х 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1 684 574,6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697 601,8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953 444,1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33 528,7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65 542,1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65 542,1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56 993,9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56 993,9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16 600,0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0110110120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40 393,9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40 393,9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37 833,9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37 833,9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0110210121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8 548,2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4 807,0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Обеспечение деятельности Народной дружины городского округа Анадырь (Расходы на выплаты персоналу в целях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0200282020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0200382030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71 584,1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69 305,1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68 705,1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68 705,1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68 705,1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68 705,1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3 705,1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2 879,0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75 963,5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7 907,6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56 666,5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11 389,4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13 682,5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11 389,4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13 682,5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11 389,4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13 682,5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2 156,2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11 389,4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14 039,7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7 529,4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04201А082Д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7 529,4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7 529,4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6 029,4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48 241,3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48 241,3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291 330,9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226 630,9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11 669,6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11 669,6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Предоставление субсидий в целях возмещение затрат в связи с оказанием ритуальных услуг по погребению согласно гарантированному перечню услуг по погребению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11 469,6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279 661,3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214 961,3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52 587,1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52 587,1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39 747,1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39 747,1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127 548,7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127 548,7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127 548,7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127 548,7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Обслуживание и ремонт сетей уличного освещения, находящихся в собственности городского округа Анадырь (Закупка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0520485061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Реализация мероприятий Регионального проекта "Региональная и местная дорожная сеть"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65 025,5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региональных проектов в области дорожного хозяйства в порядке софинансирования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052R14403М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bookmarkStart w:id="1" w:name="RANGE!A121:P213"/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2020-2026 годы"</w:t>
            </w:r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82 850,9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82 350,9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77 527,8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77 527,8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57 809,0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57 809,0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56 829,0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56 829,0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18 918,8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18 918,8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17 718,8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17 718,8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0610310121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спорта в городском округе Анадырь на 2020-2026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4 873,1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4 373,1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Проведение акции по поздравлению долгожителей с юбилейными датами - 70, 80, 90, 100 лет (Закупка товаров, работ и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0630386079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1 087 363,1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235 925,2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829 298,6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22 139,3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430 955,4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95 847,5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335 107,9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430 955,4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95 847,5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335 107,9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83 897,5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83 897,5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334 809,4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334 809,4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447 676,3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72 002,5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353 534,5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22 139,3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447 676,3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72 002,5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353 534,5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22 139,3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10 970,0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20 925,0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24 623,2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4 183,8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20 315,4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щихся образовательных организаций Чукотского автономного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072014242Д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1 572,5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Мероприятия по поддержке детских и молодежных движений, школьных театров,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 в порядке софинансирования(Предоставление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072014242М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60 890,5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326 815,9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326 815,9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1 823,9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072EВ5179Д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1 823,9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156 257,3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36 171,2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156 257,3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36 171,2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32 991,2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32 991,2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120 086,1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39 239,9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26 532,2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12 707,7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07401S241М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0740387034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25 381,2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25 381,2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21 973,6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2 967,6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2 967,6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6 590,7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07408S213Д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07408S213М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13 234,2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5 371,8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11 528,2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07501S2150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3 665,8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9 098,8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9 098,8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9 098,8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6 822,6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6 822,6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2 276,2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2 276,2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233 687,4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226 467,2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4 970,5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2 249,7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93 841,5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90 632,2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2 023,2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87 295,7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84 086,4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2 023,2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80 666,4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80 666,4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2 023,2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104 605,4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104 605,4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104 605,4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104 605,4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53 207,0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48 222,4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48 222,4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1 956,0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15 406,6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226,5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15 406,6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226,5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226,5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Пенсионное обеспечение муниципальных служащих и лиц, замещавших муниципальные должности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Доплата к трудовой пенсии муниципальным служащим и лицам, замещавшим муниципальные должности (Социальное обеспечение и иные выплаты населению)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14 565,8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7 399,6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7 399,6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4 276,3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3 123,3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8 423,4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8 423,4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8 423,4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1 758,8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6 525,6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6 525,6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jc w:val="left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right"/>
        <w:rPr>
          <w:sz w:val="28"/>
          <w:szCs w:val="28"/>
        </w:rPr>
        <w:sectPr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jc w:val="right"/>
        <w:rPr>
          <w:sz w:val="28"/>
          <w:szCs w:val="28"/>
        </w:rPr>
      </w:pPr>
    </w:p>
    <w:p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>Источники внутреннего финансирования дефицита бюджета городского округа Анадырь на 2024 год</w:t>
      </w:r>
    </w:p>
    <w:p>
      <w:pPr>
        <w:rPr>
          <w:sz w:val="24"/>
          <w:szCs w:val="24"/>
        </w:rPr>
      </w:pPr>
    </w:p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56 680,0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-56 680,0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-56 680,0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-56 680,0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-56 680,0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-56 680,0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- 2 695 969,4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- 2 695 969,4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- 2 695 969,4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- 2 695 969,4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rPr>
                <w:sz w:val="24"/>
                <w:szCs w:val="24"/>
              </w:rPr>
              <w:t>2 695 969,4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</w:pPr>
            <w:r>
              <w:rPr>
                <w:sz w:val="24"/>
                <w:szCs w:val="24"/>
              </w:rPr>
              <w:t>2 695 969,4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2 695 969,4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2 695 969,4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jc w:val="right"/>
        <w:rPr>
          <w:sz w:val="28"/>
          <w:szCs w:val="28"/>
        </w:rPr>
      </w:pPr>
    </w:p>
    <w:p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>Источники внутреннего финансирования дефицита бюджета городского округа Анадырь на 2025 год</w:t>
      </w:r>
    </w:p>
    <w:p>
      <w:pPr>
        <w:rPr>
          <w:sz w:val="24"/>
          <w:szCs w:val="24"/>
        </w:rPr>
      </w:pPr>
    </w:p>
    <w:tbl>
      <w:tblPr>
        <w:tblW w:w="9731" w:type="dxa"/>
        <w:tblInd w:w="93" w:type="dxa"/>
        <w:tblLook w:val="04A0" w:firstRow="1" w:lastRow="0" w:firstColumn="1" w:lastColumn="0" w:noHBand="0" w:noVBand="1"/>
      </w:tblPr>
      <w:tblGrid>
        <w:gridCol w:w="3593"/>
        <w:gridCol w:w="4394"/>
        <w:gridCol w:w="1744"/>
      </w:tblGrid>
      <w:tr>
        <w:trPr>
          <w:trHeight w:val="20"/>
        </w:trPr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74 000,0</w:t>
            </w:r>
          </w:p>
        </w:tc>
      </w:tr>
      <w:tr>
        <w:trPr>
          <w:trHeight w:val="20"/>
        </w:trPr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ind w:left="-11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-74 000,0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- 74 000,0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- 74 000,0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-74 000,0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- 74 000,0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1 893 828,1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jc w:val="right"/>
        <w:rPr>
          <w:sz w:val="28"/>
          <w:szCs w:val="28"/>
        </w:rPr>
      </w:pPr>
    </w:p>
    <w:p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>Источники внутреннего финансирования дефицита бюджета городского округа Анадырь на 2026 год</w:t>
      </w:r>
    </w:p>
    <w:p>
      <w:pPr>
        <w:rPr>
          <w:sz w:val="24"/>
          <w:szCs w:val="24"/>
        </w:rPr>
      </w:pPr>
    </w:p>
    <w:tbl>
      <w:tblPr>
        <w:tblW w:w="9688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451"/>
        <w:gridCol w:w="142"/>
      </w:tblGrid>
      <w:tr>
        <w:trPr>
          <w:gridAfter w:val="1"/>
          <w:wAfter w:w="142" w:type="dxa"/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sz w:val="24"/>
                <w:szCs w:val="24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бюджета городского округа Анадырь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ind w:left="-21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gridAfter w:val="1"/>
          <w:wAfter w:w="142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- 1 964 465,5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- 1 964 465,5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- 1 964 465,5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- 1 964 465,5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1 964 465,5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1 964 465,5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1 964 465,5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sz w:val="24"/>
                <w:szCs w:val="24"/>
              </w:rPr>
              <w:t>1 964 465,5</w:t>
            </w:r>
          </w:p>
        </w:tc>
      </w:tr>
    </w:tbl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10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2024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2024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2024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2024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2025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130 680,0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56 680,0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74 000,0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130 680,0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56 680,0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74 000,0</w:t>
            </w:r>
          </w:p>
        </w:tc>
      </w:tr>
    </w:tbl>
    <w:p>
      <w:pPr>
        <w:jc w:val="center"/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2025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2025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2025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2025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2026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74 000,0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74 000,0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12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jc w:val="right"/>
        <w:rPr>
          <w:sz w:val="28"/>
          <w:szCs w:val="28"/>
        </w:rPr>
      </w:pP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2026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2026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2026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2026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2027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14 декабря 2023 года № 387</w:t>
      </w:r>
    </w:p>
    <w:p>
      <w:pPr>
        <w:jc w:val="center"/>
        <w:rPr>
          <w:b/>
          <w:sz w:val="28"/>
          <w:szCs w:val="28"/>
        </w:rPr>
      </w:pPr>
      <w:bookmarkStart w:id="2" w:name="_GoBack"/>
      <w:bookmarkEnd w:id="2"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определения размера муниципальной преференции, предоставляемой Муниципальному предприятию пассажирского автотранспорта городского округа Анадырь из бюджета городского округа Анадырь в 2024 году и плановый период 2025 и 2026 годы</w:t>
      </w:r>
    </w:p>
    <w:p>
      <w:pPr>
        <w:rPr>
          <w:b/>
          <w:sz w:val="28"/>
          <w:szCs w:val="28"/>
        </w:rPr>
      </w:pPr>
    </w:p>
    <w:p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2024 году и в плановом периоде 2025 и 2026 годов на</w:t>
      </w:r>
      <w:r>
        <w:rPr>
          <w:sz w:val="24"/>
          <w:szCs w:val="24"/>
          <w:lang w:eastAsia="ru-RU"/>
        </w:rPr>
        <w:t xml:space="preserve">  </w:t>
      </w:r>
      <w:r>
        <w:rPr>
          <w:sz w:val="28"/>
          <w:szCs w:val="28"/>
          <w:lang w:eastAsia="ru-RU"/>
        </w:rPr>
        <w:t>возмещение фактических затрат, возникающих в связи с выполнением пассажирских автобусных перевозок на городских маршрутах</w:t>
      </w:r>
      <w:r>
        <w:rPr>
          <w:sz w:val="28"/>
          <w:szCs w:val="28"/>
        </w:rPr>
        <w:t>, в форме субсидии, определяется объемом  фактических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фактические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</w:t>
      </w:r>
      <w:r>
        <w:rPr>
          <w:sz w:val="28"/>
          <w:szCs w:val="28"/>
        </w:rPr>
        <w:lastRenderedPageBreak/>
        <w:t>договором, расходы на повышение квалификации персонала, задействованного при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затраты на приобретение горюче-смазочных материалов, запасных частей, материалов, оборудования, проведение текущего и капитального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т.д.), а также других расходов, связанных с организацией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расходы </w:t>
      </w:r>
      <w:r>
        <w:rPr>
          <w:rFonts w:eastAsiaTheme="minorHAnsi"/>
          <w:sz w:val="28"/>
          <w:szCs w:val="28"/>
        </w:rPr>
        <w:t>на приобретение (изготовление) оборудования, материалов и других нефинансовых активов для осуществления мероприятий по профилактике и противодействию распространения новой коронавирусной инфекции на автобусах, задействованных при</w:t>
      </w:r>
      <w:r>
        <w:rPr>
          <w:sz w:val="28"/>
          <w:szCs w:val="28"/>
        </w:rPr>
        <w:t xml:space="preserve">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доли общехозяйственных и общепроизводственных расходов предприятия, определенной в соответствии с Учетной политикой МП «ГКХ». Софинансирование средствами предприятия не предусмотрено.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Размер муниципальной преференции, предоставляемой МП «ГКХ» из бюджета городского округа Анадырь в 2024 году и в плановом периоде 2025 и 2026 годов на компенсацию затрат по уплате лизинговых платежей,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на уплату первоначального взноса (аванса) согласно договору финансовой аренды (лизинга), заключённому между МП «ГКХ» и лизинговой компанией для приобретения автобусов (далее - Договор);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-возмещение части расходов уплату ежемесячных лизинговых платежей согласно Договору (не более 99,9% от суммы уплаченных платежей).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 определяется Администрацией городского округа Анадырь.</w:t>
      </w:r>
    </w:p>
    <w:sectPr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780A5-63F6-40F6-A240-EB48BD02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3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a6">
    <w:name w:val="Знак Знак Знак"/>
    <w:basedOn w:val="a"/>
    <w:pPr>
      <w:spacing w:after="160" w:line="240" w:lineRule="exact"/>
      <w:jc w:val="left"/>
    </w:pPr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83502-DE72-4BBF-941C-0795D4CA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150</Pages>
  <Words>43816</Words>
  <Characters>249752</Characters>
  <Application>Microsoft Office Word</Application>
  <DocSecurity>0</DocSecurity>
  <Lines>2081</Lines>
  <Paragraphs>585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4</cp:revision>
  <cp:lastPrinted>2023-12-11T03:28:00Z</cp:lastPrinted>
  <dcterms:created xsi:type="dcterms:W3CDTF">2023-12-13T23:42:00Z</dcterms:created>
  <dcterms:modified xsi:type="dcterms:W3CDTF">2023-12-15T02:52:00Z</dcterms:modified>
</cp:coreProperties>
</file>